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AF" w:rsidRDefault="00972AAF" w:rsidP="00972AAF">
      <w:pPr>
        <w:bidi w:val="0"/>
        <w:spacing w:line="480" w:lineRule="auto"/>
        <w:rPr>
          <w:rFonts w:asciiTheme="majorBidi" w:hAnsiTheme="majorBidi" w:cstheme="majorBidi"/>
          <w:color w:val="0E101A"/>
          <w:sz w:val="24"/>
          <w:szCs w:val="24"/>
        </w:rPr>
      </w:pPr>
    </w:p>
    <w:p w:rsidR="00972AAF" w:rsidRDefault="00972AAF" w:rsidP="00972AAF">
      <w:pPr>
        <w:bidi w:val="0"/>
        <w:spacing w:line="480" w:lineRule="auto"/>
        <w:rPr>
          <w:rFonts w:asciiTheme="majorBidi" w:hAnsiTheme="majorBidi" w:cstheme="majorBidi"/>
          <w:color w:val="0E101A"/>
          <w:sz w:val="24"/>
          <w:szCs w:val="24"/>
        </w:rPr>
      </w:pPr>
    </w:p>
    <w:p w:rsidR="00972AAF" w:rsidRDefault="00972AAF" w:rsidP="00972AAF">
      <w:pPr>
        <w:tabs>
          <w:tab w:val="center" w:pos="4680"/>
        </w:tabs>
        <w:jc w:val="center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b/>
          <w:bCs/>
          <w:lang w:val="en-GB"/>
        </w:rPr>
        <w:t xml:space="preserve">NEWCASTLE - OTTAWA QUALITY ASSESSMENT SCALE FOR COHORT &amp; CASE CONTROL STUDIES                                                                                               </w:t>
      </w:r>
      <w:r w:rsidRPr="00972AAF">
        <w:rPr>
          <w:rFonts w:asciiTheme="majorBidi" w:hAnsiTheme="majorBidi" w:cstheme="majorBidi"/>
          <w:sz w:val="24"/>
          <w:szCs w:val="24"/>
          <w:highlight w:val="yellow"/>
          <w:lang w:bidi="ar-EG"/>
        </w:rPr>
        <w:t xml:space="preserve">Supplementary </w:t>
      </w:r>
      <w:r>
        <w:rPr>
          <w:rFonts w:asciiTheme="majorBidi" w:hAnsiTheme="majorBidi" w:cstheme="majorBidi"/>
          <w:sz w:val="24"/>
          <w:szCs w:val="24"/>
          <w:highlight w:val="yellow"/>
          <w:lang w:bidi="ar-EG"/>
        </w:rPr>
        <w:t>Material</w:t>
      </w:r>
      <w:r w:rsidRPr="00972AAF">
        <w:rPr>
          <w:rFonts w:asciiTheme="majorBidi" w:hAnsiTheme="majorBidi" w:cstheme="majorBidi"/>
          <w:sz w:val="24"/>
          <w:szCs w:val="24"/>
          <w:highlight w:val="yellow"/>
          <w:lang w:bidi="ar-EG"/>
        </w:rPr>
        <w:t xml:space="preserve"> 1</w:t>
      </w:r>
      <w:r w:rsidRPr="00136C82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972AAF" w:rsidRPr="00B006F6" w:rsidRDefault="00972AAF" w:rsidP="00972AAF">
      <w:pPr>
        <w:tabs>
          <w:tab w:val="center" w:pos="4680"/>
        </w:tabs>
        <w:rPr>
          <w:b/>
          <w:bCs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1309"/>
        <w:gridCol w:w="1146"/>
        <w:gridCol w:w="748"/>
        <w:gridCol w:w="904"/>
        <w:gridCol w:w="923"/>
        <w:gridCol w:w="872"/>
        <w:gridCol w:w="872"/>
        <w:gridCol w:w="817"/>
        <w:gridCol w:w="680"/>
        <w:gridCol w:w="678"/>
        <w:gridCol w:w="627"/>
      </w:tblGrid>
      <w:tr w:rsidR="00972AAF" w:rsidRPr="00E11217" w:rsidTr="00075728">
        <w:trPr>
          <w:trHeight w:val="509"/>
        </w:trPr>
        <w:tc>
          <w:tcPr>
            <w:tcW w:w="2300" w:type="dxa"/>
            <w:vMerge w:val="restart"/>
            <w:noWrap/>
            <w:hideMark/>
          </w:tcPr>
          <w:p w:rsidR="00972AAF" w:rsidRPr="00E11217" w:rsidRDefault="00972AAF" w:rsidP="00075728">
            <w:r w:rsidRPr="00E11217">
              <w:t> </w:t>
            </w:r>
          </w:p>
        </w:tc>
        <w:tc>
          <w:tcPr>
            <w:tcW w:w="5438" w:type="dxa"/>
            <w:gridSpan w:val="4"/>
            <w:vMerge w:val="restart"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  <w:r w:rsidRPr="00E11217">
              <w:rPr>
                <w:b/>
                <w:bCs/>
              </w:rPr>
              <w:t>Selection</w:t>
            </w:r>
          </w:p>
        </w:tc>
        <w:tc>
          <w:tcPr>
            <w:tcW w:w="2602" w:type="dxa"/>
            <w:gridSpan w:val="2"/>
            <w:vMerge w:val="restart"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  <w:r w:rsidRPr="00E11217">
              <w:rPr>
                <w:b/>
                <w:bCs/>
              </w:rPr>
              <w:t>Comparability</w:t>
            </w:r>
          </w:p>
        </w:tc>
        <w:tc>
          <w:tcPr>
            <w:tcW w:w="2902" w:type="dxa"/>
            <w:gridSpan w:val="3"/>
            <w:vMerge w:val="restart"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  <w:r w:rsidRPr="00E11217">
              <w:rPr>
                <w:b/>
                <w:bCs/>
              </w:rPr>
              <w:t>Outcome</w:t>
            </w:r>
          </w:p>
        </w:tc>
        <w:tc>
          <w:tcPr>
            <w:tcW w:w="1000" w:type="dxa"/>
            <w:vMerge w:val="restart"/>
            <w:noWrap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  <w:r w:rsidRPr="00E11217">
              <w:rPr>
                <w:b/>
                <w:bCs/>
              </w:rPr>
              <w:t> </w:t>
            </w:r>
          </w:p>
        </w:tc>
      </w:tr>
      <w:tr w:rsidR="00972AAF" w:rsidRPr="00E11217" w:rsidTr="00075728">
        <w:trPr>
          <w:trHeight w:val="509"/>
        </w:trPr>
        <w:tc>
          <w:tcPr>
            <w:tcW w:w="2300" w:type="dxa"/>
            <w:vMerge/>
            <w:hideMark/>
          </w:tcPr>
          <w:p w:rsidR="00972AAF" w:rsidRPr="00E11217" w:rsidRDefault="00972AAF" w:rsidP="00075728"/>
        </w:tc>
        <w:tc>
          <w:tcPr>
            <w:tcW w:w="5438" w:type="dxa"/>
            <w:gridSpan w:val="4"/>
            <w:vMerge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</w:p>
        </w:tc>
        <w:tc>
          <w:tcPr>
            <w:tcW w:w="2602" w:type="dxa"/>
            <w:gridSpan w:val="2"/>
            <w:vMerge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</w:p>
        </w:tc>
        <w:tc>
          <w:tcPr>
            <w:tcW w:w="2902" w:type="dxa"/>
            <w:gridSpan w:val="3"/>
            <w:vMerge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</w:p>
        </w:tc>
        <w:tc>
          <w:tcPr>
            <w:tcW w:w="1000" w:type="dxa"/>
            <w:vMerge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</w:p>
        </w:tc>
      </w:tr>
      <w:tr w:rsidR="00972AAF" w:rsidRPr="00E11217" w:rsidTr="00075728">
        <w:trPr>
          <w:trHeight w:val="4212"/>
        </w:trPr>
        <w:tc>
          <w:tcPr>
            <w:tcW w:w="2300" w:type="dxa"/>
            <w:noWrap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  <w:r w:rsidRPr="00E11217">
              <w:rPr>
                <w:b/>
                <w:bCs/>
              </w:rPr>
              <w:t>Study</w:t>
            </w:r>
          </w:p>
        </w:tc>
        <w:tc>
          <w:tcPr>
            <w:tcW w:w="1754" w:type="dxa"/>
            <w:hideMark/>
          </w:tcPr>
          <w:p w:rsidR="00972AAF" w:rsidRPr="00E11217" w:rsidRDefault="00972AAF" w:rsidP="00075728">
            <w:pPr>
              <w:rPr>
                <w:b/>
                <w:bCs/>
                <w:i/>
                <w:iCs/>
              </w:rPr>
            </w:pPr>
            <w:r w:rsidRPr="00E11217">
              <w:rPr>
                <w:b/>
                <w:bCs/>
                <w:i/>
                <w:iCs/>
              </w:rPr>
              <w:t>Representativeness</w:t>
            </w:r>
            <w:r w:rsidRPr="00E11217">
              <w:t xml:space="preserve"> of the exposed cohort population</w:t>
            </w:r>
          </w:p>
        </w:tc>
        <w:tc>
          <w:tcPr>
            <w:tcW w:w="1033" w:type="dxa"/>
            <w:hideMark/>
          </w:tcPr>
          <w:p w:rsidR="00972AAF" w:rsidRPr="00E11217" w:rsidRDefault="00972AAF" w:rsidP="00075728">
            <w:r w:rsidRPr="00E11217">
              <w:t xml:space="preserve">Selection of the non-exposed </w:t>
            </w:r>
            <w:r w:rsidRPr="00E11217">
              <w:rPr>
                <w:b/>
                <w:bCs/>
                <w:i/>
                <w:iCs/>
              </w:rPr>
              <w:t>control</w:t>
            </w:r>
            <w:r w:rsidRPr="00E11217">
              <w:t xml:space="preserve"> from the same community as the exposed cohort </w:t>
            </w:r>
          </w:p>
        </w:tc>
        <w:tc>
          <w:tcPr>
            <w:tcW w:w="1313" w:type="dxa"/>
            <w:hideMark/>
          </w:tcPr>
          <w:p w:rsidR="00972AAF" w:rsidRPr="00E11217" w:rsidRDefault="00972AAF" w:rsidP="00075728">
            <w:r w:rsidRPr="00E11217">
              <w:t xml:space="preserve">Ascertainment of exposure through secure </w:t>
            </w:r>
            <w:r w:rsidRPr="00E11217">
              <w:rPr>
                <w:b/>
                <w:bCs/>
                <w:i/>
                <w:iCs/>
              </w:rPr>
              <w:t>record</w:t>
            </w:r>
            <w:r w:rsidRPr="00E11217">
              <w:t xml:space="preserve"> (e.g. surgical records) </w:t>
            </w:r>
          </w:p>
        </w:tc>
        <w:tc>
          <w:tcPr>
            <w:tcW w:w="1338" w:type="dxa"/>
            <w:hideMark/>
          </w:tcPr>
          <w:p w:rsidR="00972AAF" w:rsidRPr="00E11217" w:rsidRDefault="00972AAF" w:rsidP="00075728">
            <w:r w:rsidRPr="00E11217">
              <w:t xml:space="preserve">Demonstration that outcome of interest was </w:t>
            </w:r>
            <w:r w:rsidRPr="00E11217">
              <w:rPr>
                <w:b/>
                <w:bCs/>
                <w:i/>
                <w:iCs/>
              </w:rPr>
              <w:t>not present at start</w:t>
            </w:r>
            <w:r w:rsidRPr="00E11217">
              <w:t xml:space="preserve"> of study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 xml:space="preserve">Comparability of cohorts on the basis of the design or analysis (e.g. </w:t>
            </w:r>
            <w:r w:rsidRPr="00E11217">
              <w:rPr>
                <w:b/>
                <w:bCs/>
                <w:i/>
                <w:iCs/>
              </w:rPr>
              <w:t>comparative statistical analysis</w:t>
            </w:r>
            <w:r w:rsidRPr="00E11217">
              <w:rPr>
                <w:i/>
                <w:iCs/>
              </w:rPr>
              <w:t xml:space="preserve"> of </w:t>
            </w:r>
            <w:r w:rsidRPr="00E11217">
              <w:rPr>
                <w:b/>
                <w:bCs/>
                <w:i/>
                <w:iCs/>
              </w:rPr>
              <w:t>primary outcome</w:t>
            </w:r>
            <w:r w:rsidRPr="00E11217">
              <w:rPr>
                <w:i/>
                <w:iCs/>
              </w:rPr>
              <w:t>)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 xml:space="preserve">Comparability for any additional factor (e.g. </w:t>
            </w:r>
            <w:r w:rsidRPr="00E11217">
              <w:rPr>
                <w:b/>
                <w:bCs/>
                <w:i/>
                <w:iCs/>
              </w:rPr>
              <w:t>comparative statistical analysis of secondary outcome</w:t>
            </w:r>
            <w:r w:rsidRPr="00E11217">
              <w:rPr>
                <w:i/>
                <w:iCs/>
              </w:rPr>
              <w:t>)</w:t>
            </w:r>
          </w:p>
        </w:tc>
        <w:tc>
          <w:tcPr>
            <w:tcW w:w="1106" w:type="dxa"/>
            <w:hideMark/>
          </w:tcPr>
          <w:p w:rsidR="00972AAF" w:rsidRPr="00E11217" w:rsidRDefault="00972AAF" w:rsidP="00075728">
            <w:pPr>
              <w:rPr>
                <w:b/>
                <w:bCs/>
                <w:i/>
                <w:iCs/>
              </w:rPr>
            </w:pPr>
            <w:r w:rsidRPr="00E11217">
              <w:rPr>
                <w:b/>
                <w:bCs/>
                <w:i/>
                <w:iCs/>
              </w:rPr>
              <w:t>Assessment of outcome</w:t>
            </w:r>
            <w:r w:rsidRPr="00E11217">
              <w:rPr>
                <w:b/>
                <w:bCs/>
              </w:rPr>
              <w:t xml:space="preserve"> </w:t>
            </w:r>
            <w:r w:rsidRPr="00E11217">
              <w:t xml:space="preserve">through independent assessment or records </w:t>
            </w:r>
          </w:p>
        </w:tc>
        <w:tc>
          <w:tcPr>
            <w:tcW w:w="874" w:type="dxa"/>
            <w:hideMark/>
          </w:tcPr>
          <w:p w:rsidR="00972AAF" w:rsidRPr="00E11217" w:rsidRDefault="00972AAF" w:rsidP="00075728">
            <w:pPr>
              <w:rPr>
                <w:b/>
                <w:bCs/>
                <w:i/>
                <w:iCs/>
              </w:rPr>
            </w:pPr>
            <w:r w:rsidRPr="00E11217">
              <w:rPr>
                <w:b/>
                <w:bCs/>
                <w:i/>
                <w:iCs/>
              </w:rPr>
              <w:t>Follow-up long enough</w:t>
            </w:r>
            <w:r w:rsidRPr="00E11217">
              <w:t xml:space="preserve"> for outcomes to occur</w:t>
            </w:r>
          </w:p>
        </w:tc>
        <w:tc>
          <w:tcPr>
            <w:tcW w:w="922" w:type="dxa"/>
            <w:hideMark/>
          </w:tcPr>
          <w:p w:rsidR="00972AAF" w:rsidRPr="00E11217" w:rsidRDefault="00972AAF" w:rsidP="00075728">
            <w:r w:rsidRPr="00E11217">
              <w:t xml:space="preserve">Adequacy of follow up of cohorts with  </w:t>
            </w:r>
            <w:r w:rsidRPr="00E11217">
              <w:rPr>
                <w:b/>
                <w:bCs/>
              </w:rPr>
              <w:t>complete follow up</w:t>
            </w:r>
            <w:r w:rsidRPr="00E11217">
              <w:t xml:space="preserve"> or - small number lost</w:t>
            </w:r>
          </w:p>
        </w:tc>
        <w:tc>
          <w:tcPr>
            <w:tcW w:w="1000" w:type="dxa"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  <w:r w:rsidRPr="00E11217">
              <w:rPr>
                <w:b/>
                <w:bCs/>
              </w:rPr>
              <w:t>Score</w:t>
            </w:r>
          </w:p>
        </w:tc>
      </w:tr>
      <w:tr w:rsidR="00972AAF" w:rsidRPr="00E11217" w:rsidTr="00075728">
        <w:trPr>
          <w:trHeight w:val="294"/>
        </w:trPr>
        <w:tc>
          <w:tcPr>
            <w:tcW w:w="2300" w:type="dxa"/>
            <w:noWrap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  <w:r w:rsidRPr="00E11217">
              <w:rPr>
                <w:b/>
                <w:bCs/>
              </w:rPr>
              <w:t xml:space="preserve">Elopre, 2013  </w:t>
            </w:r>
          </w:p>
        </w:tc>
        <w:tc>
          <w:tcPr>
            <w:tcW w:w="1754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033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313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38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106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874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922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000" w:type="dxa"/>
            <w:hideMark/>
          </w:tcPr>
          <w:p w:rsidR="00972AAF" w:rsidRPr="00E11217" w:rsidRDefault="00972AAF" w:rsidP="00075728">
            <w:r w:rsidRPr="00E11217">
              <w:t>4</w:t>
            </w:r>
          </w:p>
        </w:tc>
      </w:tr>
      <w:tr w:rsidR="00972AAF" w:rsidRPr="00E11217" w:rsidTr="00075728">
        <w:trPr>
          <w:trHeight w:val="294"/>
        </w:trPr>
        <w:tc>
          <w:tcPr>
            <w:tcW w:w="2300" w:type="dxa"/>
            <w:noWrap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  <w:r w:rsidRPr="00E11217">
              <w:rPr>
                <w:b/>
                <w:bCs/>
              </w:rPr>
              <w:t xml:space="preserve">Gathe, 2016               </w:t>
            </w:r>
          </w:p>
        </w:tc>
        <w:tc>
          <w:tcPr>
            <w:tcW w:w="1754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033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313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38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106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874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922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000" w:type="dxa"/>
            <w:hideMark/>
          </w:tcPr>
          <w:p w:rsidR="00972AAF" w:rsidRPr="00E11217" w:rsidRDefault="00972AAF" w:rsidP="00075728">
            <w:r w:rsidRPr="00E11217">
              <w:t>4</w:t>
            </w:r>
          </w:p>
        </w:tc>
      </w:tr>
      <w:tr w:rsidR="00972AAF" w:rsidRPr="00E11217" w:rsidTr="00075728">
        <w:trPr>
          <w:trHeight w:val="294"/>
        </w:trPr>
        <w:tc>
          <w:tcPr>
            <w:tcW w:w="2300" w:type="dxa"/>
            <w:noWrap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  <w:r w:rsidRPr="00E11217">
              <w:rPr>
                <w:b/>
                <w:bCs/>
              </w:rPr>
              <w:t>Kelly et al. 2014</w:t>
            </w:r>
          </w:p>
        </w:tc>
        <w:tc>
          <w:tcPr>
            <w:tcW w:w="1754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033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13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38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106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874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922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000" w:type="dxa"/>
            <w:hideMark/>
          </w:tcPr>
          <w:p w:rsidR="00972AAF" w:rsidRPr="00E11217" w:rsidRDefault="00972AAF" w:rsidP="00075728">
            <w:r w:rsidRPr="00E11217">
              <w:t>9</w:t>
            </w:r>
          </w:p>
        </w:tc>
      </w:tr>
      <w:tr w:rsidR="00972AAF" w:rsidRPr="00E11217" w:rsidTr="00075728">
        <w:trPr>
          <w:trHeight w:val="294"/>
        </w:trPr>
        <w:tc>
          <w:tcPr>
            <w:tcW w:w="2300" w:type="dxa"/>
            <w:noWrap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  <w:r w:rsidRPr="00E11217">
              <w:rPr>
                <w:b/>
                <w:bCs/>
              </w:rPr>
              <w:t>Ling et al. 2016</w:t>
            </w:r>
          </w:p>
        </w:tc>
        <w:tc>
          <w:tcPr>
            <w:tcW w:w="1754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033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313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38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106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874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922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000" w:type="dxa"/>
            <w:hideMark/>
          </w:tcPr>
          <w:p w:rsidR="00972AAF" w:rsidRPr="00E11217" w:rsidRDefault="00972AAF" w:rsidP="00075728">
            <w:r w:rsidRPr="00E11217">
              <w:t>6</w:t>
            </w:r>
          </w:p>
        </w:tc>
      </w:tr>
      <w:tr w:rsidR="00972AAF" w:rsidRPr="00E11217" w:rsidTr="00075728">
        <w:trPr>
          <w:trHeight w:val="294"/>
        </w:trPr>
        <w:tc>
          <w:tcPr>
            <w:tcW w:w="2300" w:type="dxa"/>
            <w:noWrap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  <w:r w:rsidRPr="00E11217">
              <w:rPr>
                <w:b/>
                <w:bCs/>
              </w:rPr>
              <w:t>Mandalia et al. 2016</w:t>
            </w:r>
          </w:p>
        </w:tc>
        <w:tc>
          <w:tcPr>
            <w:tcW w:w="1754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033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13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38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106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874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922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000" w:type="dxa"/>
            <w:hideMark/>
          </w:tcPr>
          <w:p w:rsidR="00972AAF" w:rsidRPr="00E11217" w:rsidRDefault="00972AAF" w:rsidP="00075728">
            <w:r w:rsidRPr="00E11217">
              <w:t>8</w:t>
            </w:r>
          </w:p>
        </w:tc>
      </w:tr>
      <w:tr w:rsidR="00972AAF" w:rsidRPr="00E11217" w:rsidTr="00075728">
        <w:trPr>
          <w:trHeight w:val="294"/>
        </w:trPr>
        <w:tc>
          <w:tcPr>
            <w:tcW w:w="2300" w:type="dxa"/>
            <w:noWrap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  <w:r w:rsidRPr="00E11217">
              <w:rPr>
                <w:b/>
                <w:bCs/>
              </w:rPr>
              <w:lastRenderedPageBreak/>
              <w:t>Ott et al. 2017</w:t>
            </w:r>
          </w:p>
        </w:tc>
        <w:tc>
          <w:tcPr>
            <w:tcW w:w="1754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033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313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38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106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874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922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000" w:type="dxa"/>
            <w:hideMark/>
          </w:tcPr>
          <w:p w:rsidR="00972AAF" w:rsidRPr="00E11217" w:rsidRDefault="00972AAF" w:rsidP="00075728">
            <w:r w:rsidRPr="00E11217">
              <w:t>4</w:t>
            </w:r>
          </w:p>
        </w:tc>
      </w:tr>
      <w:tr w:rsidR="00972AAF" w:rsidRPr="00E11217" w:rsidTr="00075728">
        <w:trPr>
          <w:trHeight w:val="294"/>
        </w:trPr>
        <w:tc>
          <w:tcPr>
            <w:tcW w:w="2300" w:type="dxa"/>
            <w:noWrap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  <w:r w:rsidRPr="00E11217">
              <w:rPr>
                <w:b/>
                <w:bCs/>
              </w:rPr>
              <w:t>Schunemann 201</w:t>
            </w:r>
            <w:r>
              <w:rPr>
                <w:b/>
                <w:bCs/>
              </w:rPr>
              <w:t>4</w:t>
            </w:r>
          </w:p>
        </w:tc>
        <w:tc>
          <w:tcPr>
            <w:tcW w:w="1754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033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313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38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106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874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922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000" w:type="dxa"/>
            <w:hideMark/>
          </w:tcPr>
          <w:p w:rsidR="00972AAF" w:rsidRPr="00E11217" w:rsidRDefault="00972AAF" w:rsidP="00075728">
            <w:r w:rsidRPr="00E11217">
              <w:t>4</w:t>
            </w:r>
          </w:p>
        </w:tc>
      </w:tr>
      <w:tr w:rsidR="00972AAF" w:rsidRPr="00E11217" w:rsidTr="00075728">
        <w:trPr>
          <w:trHeight w:val="294"/>
        </w:trPr>
        <w:tc>
          <w:tcPr>
            <w:tcW w:w="2300" w:type="dxa"/>
            <w:noWrap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  <w:r w:rsidRPr="00E11217">
              <w:rPr>
                <w:b/>
                <w:bCs/>
              </w:rPr>
              <w:t>Serrano-Villar et al. 2021</w:t>
            </w:r>
          </w:p>
        </w:tc>
        <w:tc>
          <w:tcPr>
            <w:tcW w:w="1754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033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13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38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106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874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922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000" w:type="dxa"/>
            <w:hideMark/>
          </w:tcPr>
          <w:p w:rsidR="00972AAF" w:rsidRPr="00E11217" w:rsidRDefault="00972AAF" w:rsidP="00075728">
            <w:r w:rsidRPr="00E11217">
              <w:t>8</w:t>
            </w:r>
          </w:p>
        </w:tc>
      </w:tr>
      <w:tr w:rsidR="00972AAF" w:rsidRPr="00E11217" w:rsidTr="00075728">
        <w:trPr>
          <w:trHeight w:val="294"/>
        </w:trPr>
        <w:tc>
          <w:tcPr>
            <w:tcW w:w="2300" w:type="dxa"/>
            <w:noWrap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  <w:r w:rsidRPr="00E11217">
              <w:rPr>
                <w:b/>
                <w:bCs/>
              </w:rPr>
              <w:t>Utay et al. 2020</w:t>
            </w:r>
          </w:p>
        </w:tc>
        <w:tc>
          <w:tcPr>
            <w:tcW w:w="1754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033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13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38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106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874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922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000" w:type="dxa"/>
            <w:hideMark/>
          </w:tcPr>
          <w:p w:rsidR="00972AAF" w:rsidRPr="00E11217" w:rsidRDefault="00972AAF" w:rsidP="00075728">
            <w:r w:rsidRPr="00E11217">
              <w:t>7</w:t>
            </w:r>
          </w:p>
        </w:tc>
      </w:tr>
      <w:tr w:rsidR="00972AAF" w:rsidRPr="00E11217" w:rsidTr="00075728">
        <w:trPr>
          <w:trHeight w:val="294"/>
        </w:trPr>
        <w:tc>
          <w:tcPr>
            <w:tcW w:w="2300" w:type="dxa"/>
            <w:noWrap/>
            <w:hideMark/>
          </w:tcPr>
          <w:p w:rsidR="00972AAF" w:rsidRPr="00E11217" w:rsidRDefault="00972AAF" w:rsidP="00075728">
            <w:pPr>
              <w:rPr>
                <w:b/>
                <w:bCs/>
              </w:rPr>
            </w:pPr>
            <w:r w:rsidRPr="00E11217">
              <w:rPr>
                <w:b/>
                <w:bCs/>
              </w:rPr>
              <w:t>Zhou et al. 2018</w:t>
            </w:r>
          </w:p>
        </w:tc>
        <w:tc>
          <w:tcPr>
            <w:tcW w:w="1754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033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313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338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301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1106" w:type="dxa"/>
            <w:hideMark/>
          </w:tcPr>
          <w:p w:rsidR="00972AAF" w:rsidRPr="00E11217" w:rsidRDefault="00972AAF" w:rsidP="00075728">
            <w:r w:rsidRPr="00E11217">
              <w:t>1</w:t>
            </w:r>
          </w:p>
        </w:tc>
        <w:tc>
          <w:tcPr>
            <w:tcW w:w="874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922" w:type="dxa"/>
            <w:hideMark/>
          </w:tcPr>
          <w:p w:rsidR="00972AAF" w:rsidRPr="00E11217" w:rsidRDefault="00972AAF" w:rsidP="00075728">
            <w:r w:rsidRPr="00E11217">
              <w:t>0</w:t>
            </w:r>
          </w:p>
        </w:tc>
        <w:tc>
          <w:tcPr>
            <w:tcW w:w="1000" w:type="dxa"/>
            <w:hideMark/>
          </w:tcPr>
          <w:p w:rsidR="00972AAF" w:rsidRPr="00E11217" w:rsidRDefault="00972AAF" w:rsidP="00075728">
            <w:r w:rsidRPr="00E11217">
              <w:t>4</w:t>
            </w:r>
          </w:p>
        </w:tc>
      </w:tr>
    </w:tbl>
    <w:p w:rsidR="00972AAF" w:rsidRPr="00E11217" w:rsidRDefault="00972AAF" w:rsidP="00972AAF">
      <w:pPr>
        <w:rPr>
          <w:lang w:val="en-GB"/>
        </w:rPr>
      </w:pPr>
    </w:p>
    <w:sectPr w:rsidR="00972AAF" w:rsidRPr="00E11217" w:rsidSect="00DA3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972AAF"/>
    <w:rsid w:val="00074285"/>
    <w:rsid w:val="003A5E81"/>
    <w:rsid w:val="004A0DFA"/>
    <w:rsid w:val="0066616E"/>
    <w:rsid w:val="006D2339"/>
    <w:rsid w:val="00972AAF"/>
    <w:rsid w:val="00C17424"/>
    <w:rsid w:val="00D83181"/>
    <w:rsid w:val="00DA3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AAF"/>
    <w:pPr>
      <w:bidi/>
    </w:pPr>
    <w:rPr>
      <w:kern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AAF"/>
    <w:pPr>
      <w:spacing w:after="0" w:line="240" w:lineRule="auto"/>
    </w:pPr>
    <w:rPr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285"/>
    <w:rPr>
      <w:rFonts w:ascii="Tahoma" w:hAnsi="Tahoma" w:cs="Tahoma"/>
      <w:kern w:val="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4</cp:revision>
  <dcterms:created xsi:type="dcterms:W3CDTF">2023-07-14T19:29:00Z</dcterms:created>
  <dcterms:modified xsi:type="dcterms:W3CDTF">2023-07-25T23:27:00Z</dcterms:modified>
</cp:coreProperties>
</file>