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AD">
        <w:rPr>
          <w:rFonts w:ascii="Times New Roman" w:hAnsi="Times New Roman" w:cs="Times New Roman"/>
          <w:b/>
          <w:bCs/>
          <w:sz w:val="24"/>
          <w:szCs w:val="24"/>
        </w:rPr>
        <w:t>Suppl 1</w:t>
      </w:r>
      <w:r w:rsidR="00723F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3FAD">
        <w:rPr>
          <w:rFonts w:ascii="Times New Roman" w:hAnsi="Times New Roman" w:cs="Times New Roman"/>
          <w:sz w:val="24"/>
          <w:szCs w:val="24"/>
        </w:rPr>
        <w:t xml:space="preserve"> Description of the study’s statistical methods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044"/>
      </w:tblGrid>
      <w:tr w:rsidR="00723FAD" w:rsidRPr="00723FAD" w:rsidTr="00544411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Statistical method 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Technical description </w:t>
            </w:r>
          </w:p>
        </w:tc>
      </w:tr>
      <w:tr w:rsidR="00723FAD" w:rsidRPr="00723FAD" w:rsidTr="00544411">
        <w:tc>
          <w:tcPr>
            <w:tcW w:w="2972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Backward stepwise approach for predictor selection</w:t>
            </w:r>
          </w:p>
        </w:tc>
        <w:tc>
          <w:tcPr>
            <w:tcW w:w="6044" w:type="dxa"/>
            <w:tcBorders>
              <w:top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Predictors from the univariable analysis with </w:t>
            </w:r>
            <w:r w:rsidRPr="00723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-values 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723FA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0.20 were entered into the logistic regression. The predictors were then eliminated when the multivariable </w:t>
            </w:r>
            <w:r w:rsidRPr="00723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p-</w:t>
            </w: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value exceeded 0.05 or the odds ratio approached 1.0.</w:t>
            </w:r>
          </w:p>
        </w:tc>
      </w:tr>
      <w:tr w:rsidR="00723FAD" w:rsidRPr="00723FAD" w:rsidTr="00544411">
        <w:tc>
          <w:tcPr>
            <w:tcW w:w="2972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Score derivation </w:t>
            </w:r>
          </w:p>
        </w:tc>
        <w:tc>
          <w:tcPr>
            <w:tcW w:w="6044" w:type="dxa"/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Logit coefficient values of parameters remaining after selection were used to construct a score-based prediction model. The scores were derived from dividing the logit coefficients of all predictors by the lowest value. The lowest logit coefficient was given a score of one. Divided scores were rounded to the nearest 0.5 or a whole number.</w:t>
            </w:r>
          </w:p>
        </w:tc>
      </w:tr>
      <w:tr w:rsidR="00723FAD" w:rsidRPr="00723FAD" w:rsidTr="00544411">
        <w:tc>
          <w:tcPr>
            <w:tcW w:w="2972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 xml:space="preserve">Decision curve analysis 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717502" w:rsidRPr="00723FAD" w:rsidRDefault="00717502" w:rsidP="0054441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AD">
              <w:rPr>
                <w:rFonts w:ascii="Times New Roman" w:hAnsi="Times New Roman" w:cs="Times New Roman"/>
                <w:sz w:val="24"/>
                <w:szCs w:val="24"/>
              </w:rPr>
              <w:t>To test the ability to predict clinical outcomes, the model net benefit was calculated, plotted, and presented by using the net benefit curves of two strategies: treat all (treatment for all patients) and treat none (treatment for no patients).</w:t>
            </w:r>
          </w:p>
        </w:tc>
      </w:tr>
    </w:tbl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17502" w:rsidRPr="00723FAD" w:rsidSect="0071750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502" w:rsidRPr="00723FAD" w:rsidRDefault="00717502" w:rsidP="0071750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361" w:rsidRPr="00723FAD" w:rsidRDefault="00AD7361"/>
    <w:sectPr w:rsidR="00AD7361" w:rsidRPr="00723FAD" w:rsidSect="000E6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7361"/>
    <w:rsid w:val="000E60F9"/>
    <w:rsid w:val="003A5E81"/>
    <w:rsid w:val="006D2339"/>
    <w:rsid w:val="00717502"/>
    <w:rsid w:val="00723FAD"/>
    <w:rsid w:val="009000B5"/>
    <w:rsid w:val="00AD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61"/>
    <w:pPr>
      <w:shd w:val="clear" w:color="auto" w:fill="FFFFFF"/>
      <w:spacing w:after="160" w:line="259" w:lineRule="auto"/>
    </w:pPr>
    <w:rPr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D736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7361"/>
    <w:rPr>
      <w:rFonts w:ascii="Calibri" w:hAnsi="Calibri" w:cs="Calibri"/>
      <w:noProof/>
      <w:szCs w:val="28"/>
      <w:shd w:val="clear" w:color="auto" w:fill="FFFFFF"/>
      <w:lang w:eastAsia="en-US" w:bidi="th-TH"/>
    </w:rPr>
  </w:style>
  <w:style w:type="table" w:styleId="TableGrid">
    <w:name w:val="Table Grid"/>
    <w:basedOn w:val="TableNormal"/>
    <w:uiPriority w:val="39"/>
    <w:rsid w:val="00717502"/>
    <w:pPr>
      <w:spacing w:after="0" w:line="240" w:lineRule="auto"/>
    </w:pPr>
    <w:rPr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0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B5"/>
    <w:rPr>
      <w:rFonts w:ascii="Tahoma" w:hAnsi="Tahoma" w:cs="Angsana New"/>
      <w:sz w:val="16"/>
      <w:szCs w:val="20"/>
      <w:shd w:val="clear" w:color="auto" w:fill="FFFFFF"/>
      <w:lang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2022-09-15T18:32:00Z</dcterms:created>
  <dcterms:modified xsi:type="dcterms:W3CDTF">2022-09-30T12:58:00Z</dcterms:modified>
</cp:coreProperties>
</file>