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936" w:rsidRPr="00976936" w:rsidRDefault="0097693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76936">
        <w:rPr>
          <w:rFonts w:ascii="Arial" w:hAnsi="Arial" w:cs="Arial"/>
          <w:sz w:val="20"/>
          <w:szCs w:val="20"/>
        </w:rPr>
        <w:t xml:space="preserve">Supplemental Table 1.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1560"/>
        <w:gridCol w:w="1560"/>
      </w:tblGrid>
      <w:tr w:rsidR="00976936" w:rsidRPr="00976936" w:rsidTr="00B5193E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976936" w:rsidRPr="00320156" w:rsidRDefault="0097693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Parameters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6936" w:rsidRPr="00320156" w:rsidRDefault="0097693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LVL (n=10)</w:t>
            </w: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  <w:vertAlign w:val="superscript"/>
              </w:rPr>
              <w:t>a</w:t>
            </w:r>
            <w:r w:rsidR="00320156"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  <w:vertAlign w:val="superscript"/>
              </w:rPr>
              <w:t>, b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6936" w:rsidRPr="00320156" w:rsidRDefault="00976936" w:rsidP="006F6AA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HVL (n=13)</w:t>
            </w:r>
          </w:p>
        </w:tc>
      </w:tr>
      <w:tr w:rsidR="00976936" w:rsidRPr="00976936" w:rsidTr="00B5193E">
        <w:tc>
          <w:tcPr>
            <w:tcW w:w="2376" w:type="dxa"/>
            <w:tcBorders>
              <w:top w:val="single" w:sz="4" w:space="0" w:color="auto"/>
            </w:tcBorders>
          </w:tcPr>
          <w:p w:rsidR="00976936" w:rsidRPr="00320156" w:rsidRDefault="00976936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Patient factors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76936" w:rsidRPr="00320156" w:rsidRDefault="009769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76936" w:rsidRPr="00320156" w:rsidRDefault="00976936" w:rsidP="006F6A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936" w:rsidRPr="00976936" w:rsidTr="00320156">
        <w:tc>
          <w:tcPr>
            <w:tcW w:w="2376" w:type="dxa"/>
          </w:tcPr>
          <w:p w:rsidR="00976936" w:rsidRPr="00320156" w:rsidRDefault="00976936">
            <w:pPr>
              <w:pStyle w:val="a4"/>
              <w:spacing w:before="0" w:beforeAutospacing="0" w:after="0" w:afterAutospacing="0"/>
              <w:ind w:left="274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Male (%)</w:t>
            </w:r>
          </w:p>
        </w:tc>
        <w:tc>
          <w:tcPr>
            <w:tcW w:w="1560" w:type="dxa"/>
            <w:vAlign w:val="center"/>
          </w:tcPr>
          <w:p w:rsidR="00976936" w:rsidRPr="00320156" w:rsidRDefault="0097693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30</w:t>
            </w:r>
          </w:p>
        </w:tc>
        <w:tc>
          <w:tcPr>
            <w:tcW w:w="1560" w:type="dxa"/>
            <w:vAlign w:val="center"/>
          </w:tcPr>
          <w:p w:rsidR="00976936" w:rsidRPr="00320156" w:rsidRDefault="00976936" w:rsidP="006F6AA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46</w:t>
            </w:r>
          </w:p>
        </w:tc>
      </w:tr>
      <w:tr w:rsidR="00976936" w:rsidRPr="00976936" w:rsidTr="00320156">
        <w:tc>
          <w:tcPr>
            <w:tcW w:w="2376" w:type="dxa"/>
          </w:tcPr>
          <w:p w:rsidR="00976936" w:rsidRPr="00320156" w:rsidRDefault="00976936">
            <w:pPr>
              <w:pStyle w:val="a4"/>
              <w:spacing w:before="0" w:beforeAutospacing="0" w:after="0" w:afterAutospacing="0"/>
              <w:ind w:left="274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Caucasian (%)</w:t>
            </w:r>
          </w:p>
        </w:tc>
        <w:tc>
          <w:tcPr>
            <w:tcW w:w="1560" w:type="dxa"/>
            <w:vAlign w:val="center"/>
          </w:tcPr>
          <w:p w:rsidR="00976936" w:rsidRPr="00320156" w:rsidRDefault="0097693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60</w:t>
            </w:r>
          </w:p>
        </w:tc>
        <w:tc>
          <w:tcPr>
            <w:tcW w:w="1560" w:type="dxa"/>
            <w:vAlign w:val="center"/>
          </w:tcPr>
          <w:p w:rsidR="00976936" w:rsidRPr="00320156" w:rsidRDefault="00976936" w:rsidP="006F6AA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77</w:t>
            </w:r>
          </w:p>
        </w:tc>
      </w:tr>
      <w:tr w:rsidR="00976936" w:rsidRPr="00976936" w:rsidTr="00320156">
        <w:tc>
          <w:tcPr>
            <w:tcW w:w="2376" w:type="dxa"/>
          </w:tcPr>
          <w:p w:rsidR="00976936" w:rsidRPr="00320156" w:rsidRDefault="00976936" w:rsidP="00320156">
            <w:pPr>
              <w:pStyle w:val="a4"/>
              <w:spacing w:before="0" w:beforeAutospacing="0" w:after="0" w:afterAutospacing="0"/>
              <w:ind w:left="27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Age</w:t>
            </w:r>
            <w:r w:rsidR="00320156"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  <w:vertAlign w:val="superscript"/>
              </w:rPr>
              <w:t>c</w:t>
            </w:r>
            <w:proofErr w:type="spellEnd"/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976936" w:rsidRPr="00320156" w:rsidRDefault="0097693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50 (40-65)</w:t>
            </w:r>
          </w:p>
        </w:tc>
        <w:tc>
          <w:tcPr>
            <w:tcW w:w="1560" w:type="dxa"/>
            <w:vAlign w:val="center"/>
          </w:tcPr>
          <w:p w:rsidR="00976936" w:rsidRPr="00320156" w:rsidRDefault="00976936" w:rsidP="006F6AA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54 (23-62)</w:t>
            </w:r>
          </w:p>
        </w:tc>
      </w:tr>
      <w:tr w:rsidR="00976936" w:rsidRPr="00976936" w:rsidTr="00320156">
        <w:tc>
          <w:tcPr>
            <w:tcW w:w="2376" w:type="dxa"/>
          </w:tcPr>
          <w:p w:rsidR="00976936" w:rsidRPr="00320156" w:rsidRDefault="009769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76936" w:rsidRPr="00320156" w:rsidRDefault="009769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76936" w:rsidRPr="00320156" w:rsidRDefault="00976936" w:rsidP="006F6A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936" w:rsidRPr="00976936" w:rsidTr="00320156">
        <w:tc>
          <w:tcPr>
            <w:tcW w:w="2376" w:type="dxa"/>
          </w:tcPr>
          <w:p w:rsidR="00976936" w:rsidRPr="00320156" w:rsidRDefault="00976936">
            <w:pPr>
              <w:pStyle w:val="a4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Viral factors</w:t>
            </w:r>
          </w:p>
        </w:tc>
        <w:tc>
          <w:tcPr>
            <w:tcW w:w="1560" w:type="dxa"/>
            <w:vAlign w:val="center"/>
          </w:tcPr>
          <w:p w:rsidR="00976936" w:rsidRPr="00320156" w:rsidRDefault="009769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76936" w:rsidRPr="00320156" w:rsidRDefault="00976936" w:rsidP="006F6A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936" w:rsidRPr="00976936" w:rsidTr="00320156">
        <w:tc>
          <w:tcPr>
            <w:tcW w:w="2376" w:type="dxa"/>
          </w:tcPr>
          <w:p w:rsidR="00976936" w:rsidRPr="00320156" w:rsidRDefault="00976936">
            <w:pPr>
              <w:pStyle w:val="a4"/>
              <w:spacing w:before="0" w:beforeAutospacing="0" w:after="0" w:afterAutospacing="0"/>
              <w:ind w:left="274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Genotype 1 (%)</w:t>
            </w:r>
          </w:p>
        </w:tc>
        <w:tc>
          <w:tcPr>
            <w:tcW w:w="1560" w:type="dxa"/>
            <w:vAlign w:val="center"/>
          </w:tcPr>
          <w:p w:rsidR="00976936" w:rsidRPr="00320156" w:rsidRDefault="00976936" w:rsidP="0097693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80</w:t>
            </w:r>
          </w:p>
        </w:tc>
        <w:tc>
          <w:tcPr>
            <w:tcW w:w="1560" w:type="dxa"/>
            <w:vAlign w:val="center"/>
          </w:tcPr>
          <w:p w:rsidR="00976936" w:rsidRPr="00320156" w:rsidRDefault="00976936" w:rsidP="006F6AA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92</w:t>
            </w:r>
          </w:p>
        </w:tc>
      </w:tr>
      <w:tr w:rsidR="00976936" w:rsidRPr="00976936" w:rsidTr="00320156">
        <w:tc>
          <w:tcPr>
            <w:tcW w:w="2376" w:type="dxa"/>
          </w:tcPr>
          <w:p w:rsidR="00976936" w:rsidRPr="00320156" w:rsidRDefault="00976936" w:rsidP="00320156">
            <w:pPr>
              <w:pStyle w:val="a4"/>
              <w:spacing w:before="0" w:beforeAutospacing="0" w:after="0" w:afterAutospacing="0"/>
              <w:ind w:left="274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ALT (IU/</w:t>
            </w:r>
            <w:r w:rsidR="00320156"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L</w:t>
            </w: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)</w:t>
            </w:r>
            <w:r w:rsidR="00320156"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  <w:vertAlign w:val="superscript"/>
              </w:rPr>
              <w:t>c, d</w:t>
            </w:r>
          </w:p>
        </w:tc>
        <w:tc>
          <w:tcPr>
            <w:tcW w:w="1560" w:type="dxa"/>
            <w:vAlign w:val="center"/>
          </w:tcPr>
          <w:p w:rsidR="00976936" w:rsidRPr="00320156" w:rsidRDefault="0097693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57 (38-181)</w:t>
            </w:r>
          </w:p>
        </w:tc>
        <w:tc>
          <w:tcPr>
            <w:tcW w:w="1560" w:type="dxa"/>
            <w:vAlign w:val="center"/>
          </w:tcPr>
          <w:p w:rsidR="00976936" w:rsidRPr="00320156" w:rsidRDefault="00976936" w:rsidP="006F6AA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67 (27-330)</w:t>
            </w:r>
          </w:p>
        </w:tc>
      </w:tr>
      <w:tr w:rsidR="00976936" w:rsidRPr="00976936" w:rsidTr="00320156">
        <w:tc>
          <w:tcPr>
            <w:tcW w:w="2376" w:type="dxa"/>
          </w:tcPr>
          <w:p w:rsidR="00976936" w:rsidRPr="00320156" w:rsidRDefault="00976936" w:rsidP="00976936">
            <w:pPr>
              <w:pStyle w:val="a4"/>
              <w:spacing w:before="0" w:beforeAutospacing="0" w:after="0" w:afterAutospacing="0"/>
              <w:ind w:left="274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AST (IU/</w:t>
            </w:r>
            <w:r w:rsidR="00320156"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L</w:t>
            </w: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)</w:t>
            </w:r>
            <w:r w:rsidR="00320156"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  <w:vertAlign w:val="superscript"/>
              </w:rPr>
              <w:t>c, d</w:t>
            </w:r>
          </w:p>
        </w:tc>
        <w:tc>
          <w:tcPr>
            <w:tcW w:w="1560" w:type="dxa"/>
            <w:vAlign w:val="center"/>
          </w:tcPr>
          <w:p w:rsidR="00976936" w:rsidRPr="00320156" w:rsidRDefault="0097693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81 (32-168)</w:t>
            </w:r>
          </w:p>
        </w:tc>
        <w:tc>
          <w:tcPr>
            <w:tcW w:w="1560" w:type="dxa"/>
            <w:vAlign w:val="center"/>
          </w:tcPr>
          <w:p w:rsidR="00976936" w:rsidRPr="00320156" w:rsidRDefault="00976936" w:rsidP="006F6AA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63 (22-221)</w:t>
            </w:r>
          </w:p>
        </w:tc>
      </w:tr>
      <w:tr w:rsidR="00976936" w:rsidRPr="00976936" w:rsidTr="00320156">
        <w:tc>
          <w:tcPr>
            <w:tcW w:w="2376" w:type="dxa"/>
          </w:tcPr>
          <w:p w:rsidR="00976936" w:rsidRPr="00320156" w:rsidRDefault="00976936" w:rsidP="00976936">
            <w:pPr>
              <w:pStyle w:val="a4"/>
              <w:spacing w:before="0" w:beforeAutospacing="0" w:after="0" w:afterAutospacing="0"/>
              <w:ind w:left="274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GGT (IU/</w:t>
            </w:r>
            <w:r w:rsidR="00320156"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L)</w:t>
            </w:r>
            <w:r w:rsidR="00320156"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  <w:vertAlign w:val="superscript"/>
              </w:rPr>
              <w:t>c, d</w:t>
            </w:r>
          </w:p>
        </w:tc>
        <w:tc>
          <w:tcPr>
            <w:tcW w:w="1560" w:type="dxa"/>
            <w:vAlign w:val="center"/>
          </w:tcPr>
          <w:p w:rsidR="00976936" w:rsidRPr="00320156" w:rsidRDefault="0097693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65 (19-297)</w:t>
            </w:r>
          </w:p>
        </w:tc>
        <w:tc>
          <w:tcPr>
            <w:tcW w:w="1560" w:type="dxa"/>
            <w:vAlign w:val="center"/>
          </w:tcPr>
          <w:p w:rsidR="00976936" w:rsidRPr="00320156" w:rsidRDefault="00976936" w:rsidP="006F6AA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54 (10-361)</w:t>
            </w:r>
          </w:p>
        </w:tc>
      </w:tr>
      <w:tr w:rsidR="00976936" w:rsidRPr="00976936" w:rsidTr="00320156">
        <w:tc>
          <w:tcPr>
            <w:tcW w:w="2376" w:type="dxa"/>
          </w:tcPr>
          <w:p w:rsidR="00976936" w:rsidRPr="00320156" w:rsidRDefault="00976936" w:rsidP="00976936">
            <w:pPr>
              <w:pStyle w:val="a4"/>
              <w:spacing w:before="0" w:beforeAutospacing="0" w:after="0" w:afterAutospacing="0"/>
              <w:ind w:left="274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Bilirubin (</w:t>
            </w:r>
            <w:r w:rsidR="00320156" w:rsidRPr="00320156">
              <w:rPr>
                <w:rFonts w:ascii="Arial" w:hAnsi="Arial" w:cs="Arial"/>
                <w:sz w:val="20"/>
                <w:szCs w:val="20"/>
              </w:rPr>
              <w:t>µmol/L</w:t>
            </w: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)</w:t>
            </w:r>
            <w:r w:rsidR="00320156"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  <w:vertAlign w:val="superscript"/>
              </w:rPr>
              <w:t>c, d</w:t>
            </w:r>
          </w:p>
        </w:tc>
        <w:tc>
          <w:tcPr>
            <w:tcW w:w="1560" w:type="dxa"/>
            <w:vAlign w:val="center"/>
          </w:tcPr>
          <w:p w:rsidR="00976936" w:rsidRPr="00320156" w:rsidRDefault="0097693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9 (5-25)</w:t>
            </w:r>
          </w:p>
        </w:tc>
        <w:tc>
          <w:tcPr>
            <w:tcW w:w="1560" w:type="dxa"/>
            <w:vAlign w:val="center"/>
          </w:tcPr>
          <w:p w:rsidR="00976936" w:rsidRPr="00320156" w:rsidRDefault="00976936" w:rsidP="006F6AA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7 (4-20)</w:t>
            </w:r>
          </w:p>
        </w:tc>
      </w:tr>
      <w:tr w:rsidR="00976936" w:rsidRPr="00976936" w:rsidTr="00320156">
        <w:tc>
          <w:tcPr>
            <w:tcW w:w="2376" w:type="dxa"/>
          </w:tcPr>
          <w:p w:rsidR="00976936" w:rsidRPr="00320156" w:rsidRDefault="00976936" w:rsidP="00320156">
            <w:pPr>
              <w:pStyle w:val="a4"/>
              <w:spacing w:before="0" w:beforeAutospacing="0" w:after="0" w:afterAutospacing="0"/>
              <w:ind w:left="274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 xml:space="preserve">Fibrosis </w:t>
            </w:r>
            <w:proofErr w:type="spellStart"/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Scores</w:t>
            </w:r>
            <w:r w:rsidR="00320156"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  <w:vertAlign w:val="superscript"/>
              </w:rPr>
              <w:t>c</w:t>
            </w:r>
            <w:proofErr w:type="spellEnd"/>
            <w:r w:rsidR="00320156"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  <w:vertAlign w:val="superscript"/>
              </w:rPr>
              <w:t>, e</w:t>
            </w: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976936" w:rsidRPr="00320156" w:rsidRDefault="0097693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3 (2-4)</w:t>
            </w:r>
          </w:p>
        </w:tc>
        <w:tc>
          <w:tcPr>
            <w:tcW w:w="1560" w:type="dxa"/>
            <w:vAlign w:val="center"/>
          </w:tcPr>
          <w:p w:rsidR="00976936" w:rsidRPr="00320156" w:rsidRDefault="00976936" w:rsidP="006F6AA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2.5 (1-4)</w:t>
            </w:r>
          </w:p>
        </w:tc>
      </w:tr>
      <w:tr w:rsidR="00976936" w:rsidRPr="00976936" w:rsidTr="00320156">
        <w:tc>
          <w:tcPr>
            <w:tcW w:w="2376" w:type="dxa"/>
          </w:tcPr>
          <w:p w:rsidR="00976936" w:rsidRPr="00320156" w:rsidRDefault="00976936" w:rsidP="00976936">
            <w:pPr>
              <w:pStyle w:val="a4"/>
              <w:spacing w:before="0" w:beforeAutospacing="0" w:after="0" w:afterAutospacing="0"/>
              <w:ind w:left="274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 xml:space="preserve">Grade of </w:t>
            </w:r>
            <w:proofErr w:type="spellStart"/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Inflammation</w:t>
            </w:r>
            <w:r w:rsidR="00320156"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  <w:vertAlign w:val="superscript"/>
              </w:rPr>
              <w:t>c</w:t>
            </w:r>
            <w:proofErr w:type="spellEnd"/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976936" w:rsidRPr="00320156" w:rsidRDefault="0097693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2.5 (2-3)</w:t>
            </w:r>
          </w:p>
        </w:tc>
        <w:tc>
          <w:tcPr>
            <w:tcW w:w="1560" w:type="dxa"/>
            <w:vAlign w:val="center"/>
          </w:tcPr>
          <w:p w:rsidR="00976936" w:rsidRPr="00320156" w:rsidRDefault="00976936" w:rsidP="006F6AA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2 (1-3)</w:t>
            </w:r>
          </w:p>
        </w:tc>
      </w:tr>
      <w:tr w:rsidR="00976936" w:rsidRPr="00976936" w:rsidTr="00320156">
        <w:tc>
          <w:tcPr>
            <w:tcW w:w="2376" w:type="dxa"/>
          </w:tcPr>
          <w:p w:rsidR="00976936" w:rsidRPr="00320156" w:rsidRDefault="009769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76936" w:rsidRPr="00320156" w:rsidRDefault="009769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76936" w:rsidRPr="00320156" w:rsidRDefault="00976936" w:rsidP="006F6A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936" w:rsidRPr="00976936" w:rsidTr="00320156">
        <w:tc>
          <w:tcPr>
            <w:tcW w:w="2376" w:type="dxa"/>
          </w:tcPr>
          <w:p w:rsidR="00976936" w:rsidRPr="00320156" w:rsidRDefault="00976936">
            <w:pPr>
              <w:pStyle w:val="a4"/>
              <w:spacing w:before="0" w:beforeAutospacing="0" w:after="0" w:afterAutospacing="0"/>
              <w:rPr>
                <w:rFonts w:ascii="Arial" w:hAnsi="Arial" w:cs="Arial"/>
                <w:bCs/>
                <w:kern w:val="24"/>
                <w:sz w:val="20"/>
                <w:szCs w:val="20"/>
              </w:rPr>
            </w:pPr>
            <w:r w:rsidRPr="00320156">
              <w:rPr>
                <w:rFonts w:ascii="Arial" w:hAnsi="Arial" w:cs="Arial"/>
                <w:bCs/>
                <w:kern w:val="24"/>
                <w:sz w:val="20"/>
                <w:szCs w:val="20"/>
              </w:rPr>
              <w:t>Treatment factors</w:t>
            </w:r>
          </w:p>
        </w:tc>
        <w:tc>
          <w:tcPr>
            <w:tcW w:w="1560" w:type="dxa"/>
            <w:vAlign w:val="center"/>
          </w:tcPr>
          <w:p w:rsidR="00976936" w:rsidRPr="00320156" w:rsidRDefault="009769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76936" w:rsidRPr="00320156" w:rsidRDefault="00976936" w:rsidP="006F6AA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936" w:rsidRPr="00976936" w:rsidTr="00320156">
        <w:tc>
          <w:tcPr>
            <w:tcW w:w="2376" w:type="dxa"/>
          </w:tcPr>
          <w:p w:rsidR="00976936" w:rsidRPr="00320156" w:rsidRDefault="00976936">
            <w:pPr>
              <w:pStyle w:val="a4"/>
              <w:spacing w:before="0" w:beforeAutospacing="0" w:after="0" w:afterAutospacing="0"/>
              <w:ind w:left="274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EVR Genotype 1 (%)</w:t>
            </w:r>
          </w:p>
        </w:tc>
        <w:tc>
          <w:tcPr>
            <w:tcW w:w="1560" w:type="dxa"/>
            <w:vAlign w:val="center"/>
          </w:tcPr>
          <w:p w:rsidR="00976936" w:rsidRPr="00320156" w:rsidRDefault="0097693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25</w:t>
            </w:r>
          </w:p>
        </w:tc>
        <w:tc>
          <w:tcPr>
            <w:tcW w:w="1560" w:type="dxa"/>
            <w:vAlign w:val="center"/>
          </w:tcPr>
          <w:p w:rsidR="00976936" w:rsidRPr="00320156" w:rsidRDefault="00976936" w:rsidP="006F6AA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75</w:t>
            </w:r>
          </w:p>
        </w:tc>
      </w:tr>
      <w:tr w:rsidR="00976936" w:rsidRPr="00976936" w:rsidTr="00B5193E">
        <w:tc>
          <w:tcPr>
            <w:tcW w:w="2376" w:type="dxa"/>
          </w:tcPr>
          <w:p w:rsidR="00976936" w:rsidRPr="00320156" w:rsidRDefault="00976936">
            <w:pPr>
              <w:pStyle w:val="a4"/>
              <w:spacing w:before="0" w:beforeAutospacing="0" w:after="0" w:afterAutospacing="0"/>
              <w:ind w:left="274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SVR Genotype 1 (%)</w:t>
            </w:r>
          </w:p>
        </w:tc>
        <w:tc>
          <w:tcPr>
            <w:tcW w:w="1560" w:type="dxa"/>
            <w:vAlign w:val="center"/>
          </w:tcPr>
          <w:p w:rsidR="00976936" w:rsidRPr="00320156" w:rsidRDefault="0097693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13</w:t>
            </w:r>
          </w:p>
        </w:tc>
        <w:tc>
          <w:tcPr>
            <w:tcW w:w="1560" w:type="dxa"/>
            <w:vAlign w:val="center"/>
          </w:tcPr>
          <w:p w:rsidR="00976936" w:rsidRPr="00320156" w:rsidRDefault="00976936" w:rsidP="006F6AA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50</w:t>
            </w:r>
          </w:p>
        </w:tc>
      </w:tr>
      <w:tr w:rsidR="00976936" w:rsidRPr="00976936" w:rsidTr="00B5193E">
        <w:tc>
          <w:tcPr>
            <w:tcW w:w="2376" w:type="dxa"/>
            <w:tcBorders>
              <w:bottom w:val="single" w:sz="4" w:space="0" w:color="auto"/>
            </w:tcBorders>
          </w:tcPr>
          <w:p w:rsidR="00976936" w:rsidRPr="00320156" w:rsidRDefault="00976936">
            <w:pPr>
              <w:pStyle w:val="a4"/>
              <w:spacing w:before="0" w:beforeAutospacing="0" w:after="0" w:afterAutospacing="0"/>
              <w:ind w:left="274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Treatment Discontinuation (%)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76936" w:rsidRPr="00320156" w:rsidRDefault="00976936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38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76936" w:rsidRPr="00320156" w:rsidRDefault="00976936" w:rsidP="006F6AAB">
            <w:pPr>
              <w:pStyle w:val="a4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156">
              <w:rPr>
                <w:rFonts w:ascii="Arial" w:hAnsi="Arial" w:cs="Arial"/>
                <w:color w:val="000000" w:themeColor="dark1"/>
                <w:kern w:val="24"/>
                <w:sz w:val="20"/>
                <w:szCs w:val="20"/>
              </w:rPr>
              <w:t>17</w:t>
            </w:r>
          </w:p>
        </w:tc>
      </w:tr>
    </w:tbl>
    <w:p w:rsidR="00320156" w:rsidRDefault="00320156" w:rsidP="00976936">
      <w:pPr>
        <w:spacing w:after="0"/>
        <w:ind w:right="702" w:hanging="180"/>
        <w:jc w:val="both"/>
        <w:rPr>
          <w:rFonts w:ascii="Arial" w:hAnsi="Arial" w:cs="Arial"/>
          <w:sz w:val="20"/>
          <w:szCs w:val="20"/>
        </w:rPr>
      </w:pPr>
    </w:p>
    <w:p w:rsidR="00976936" w:rsidRPr="00320156" w:rsidRDefault="00976936" w:rsidP="00976936">
      <w:pPr>
        <w:spacing w:after="0"/>
        <w:ind w:right="702" w:hanging="180"/>
        <w:jc w:val="both"/>
        <w:rPr>
          <w:rFonts w:ascii="Arial" w:hAnsi="Arial" w:cs="Arial"/>
          <w:sz w:val="20"/>
          <w:szCs w:val="20"/>
        </w:rPr>
      </w:pPr>
      <w:r w:rsidRPr="00320156">
        <w:rPr>
          <w:rFonts w:ascii="Arial" w:hAnsi="Arial" w:cs="Arial"/>
          <w:sz w:val="20"/>
          <w:szCs w:val="20"/>
        </w:rPr>
        <w:t xml:space="preserve">a. </w:t>
      </w:r>
      <w:r w:rsidR="00724C8F">
        <w:rPr>
          <w:rFonts w:ascii="Arial" w:hAnsi="Arial" w:cs="Arial"/>
          <w:sz w:val="20"/>
          <w:szCs w:val="20"/>
        </w:rPr>
        <w:t>L</w:t>
      </w:r>
      <w:r w:rsidRPr="00320156">
        <w:rPr>
          <w:rFonts w:ascii="Arial" w:hAnsi="Arial" w:cs="Arial"/>
          <w:sz w:val="20"/>
          <w:szCs w:val="20"/>
        </w:rPr>
        <w:t xml:space="preserve">ow </w:t>
      </w:r>
      <w:r w:rsidR="00AD724D">
        <w:rPr>
          <w:rFonts w:ascii="Arial" w:hAnsi="Arial" w:cs="Arial"/>
          <w:sz w:val="20"/>
          <w:szCs w:val="20"/>
        </w:rPr>
        <w:t xml:space="preserve">viral loads (LVL) </w:t>
      </w:r>
      <w:r w:rsidRPr="00320156">
        <w:rPr>
          <w:rFonts w:ascii="Arial" w:hAnsi="Arial" w:cs="Arial"/>
          <w:sz w:val="20"/>
          <w:szCs w:val="20"/>
        </w:rPr>
        <w:t xml:space="preserve">and </w:t>
      </w:r>
      <w:r w:rsidR="00320156" w:rsidRPr="00320156">
        <w:rPr>
          <w:rFonts w:ascii="Arial" w:hAnsi="Arial" w:cs="Arial"/>
          <w:sz w:val="20"/>
          <w:szCs w:val="20"/>
        </w:rPr>
        <w:t>h</w:t>
      </w:r>
      <w:r w:rsidRPr="00320156">
        <w:rPr>
          <w:rFonts w:ascii="Arial" w:hAnsi="Arial" w:cs="Arial"/>
          <w:sz w:val="20"/>
          <w:szCs w:val="20"/>
        </w:rPr>
        <w:t xml:space="preserve">igh viral loads </w:t>
      </w:r>
      <w:r w:rsidR="00AD724D">
        <w:rPr>
          <w:rFonts w:ascii="Arial" w:hAnsi="Arial" w:cs="Arial"/>
          <w:sz w:val="20"/>
          <w:szCs w:val="20"/>
        </w:rPr>
        <w:t xml:space="preserve">(HVL) </w:t>
      </w:r>
      <w:r w:rsidRPr="00320156">
        <w:rPr>
          <w:rFonts w:ascii="Arial" w:hAnsi="Arial" w:cs="Arial"/>
          <w:sz w:val="20"/>
          <w:szCs w:val="20"/>
        </w:rPr>
        <w:t xml:space="preserve">were </w:t>
      </w:r>
      <w:r w:rsidR="00320156" w:rsidRPr="00320156">
        <w:rPr>
          <w:rFonts w:ascii="Arial" w:hAnsi="Arial" w:cs="Arial"/>
          <w:sz w:val="20"/>
          <w:szCs w:val="20"/>
        </w:rPr>
        <w:t xml:space="preserve">respectively </w:t>
      </w:r>
      <w:r w:rsidRPr="00320156">
        <w:rPr>
          <w:rFonts w:ascii="Arial" w:hAnsi="Arial" w:cs="Arial"/>
          <w:sz w:val="20"/>
          <w:szCs w:val="20"/>
        </w:rPr>
        <w:t xml:space="preserve">differentiated </w:t>
      </w:r>
      <w:r w:rsidR="00320156" w:rsidRPr="00320156">
        <w:rPr>
          <w:rFonts w:ascii="Arial" w:hAnsi="Arial" w:cs="Arial"/>
          <w:sz w:val="20"/>
          <w:szCs w:val="20"/>
        </w:rPr>
        <w:t>as</w:t>
      </w:r>
      <w:r w:rsidRPr="00320156">
        <w:rPr>
          <w:rFonts w:ascii="Arial" w:hAnsi="Arial" w:cs="Arial"/>
          <w:sz w:val="20"/>
          <w:szCs w:val="20"/>
        </w:rPr>
        <w:t xml:space="preserve"> </w:t>
      </w:r>
      <w:r w:rsidR="00320156" w:rsidRPr="00320156">
        <w:rPr>
          <w:rFonts w:ascii="Arial" w:hAnsi="Arial" w:cs="Arial"/>
          <w:sz w:val="20"/>
          <w:szCs w:val="20"/>
        </w:rPr>
        <w:t>&lt;800,000 IU/ml and &gt;800,000 IU/ml.</w:t>
      </w:r>
    </w:p>
    <w:p w:rsidR="00976936" w:rsidRPr="00320156" w:rsidRDefault="00320156" w:rsidP="00976936">
      <w:pPr>
        <w:spacing w:after="0"/>
        <w:ind w:right="702" w:hanging="180"/>
        <w:jc w:val="both"/>
        <w:rPr>
          <w:rStyle w:val="a6"/>
          <w:rFonts w:ascii="Arial" w:hAnsi="Arial" w:cs="Arial"/>
          <w:i w:val="0"/>
          <w:sz w:val="20"/>
          <w:szCs w:val="20"/>
        </w:rPr>
      </w:pPr>
      <w:r w:rsidRPr="00320156">
        <w:rPr>
          <w:rFonts w:ascii="Arial" w:hAnsi="Arial" w:cs="Arial"/>
          <w:sz w:val="20"/>
          <w:szCs w:val="20"/>
        </w:rPr>
        <w:t xml:space="preserve">b. </w:t>
      </w:r>
      <w:r w:rsidR="00724C8F">
        <w:rPr>
          <w:rFonts w:ascii="Arial" w:hAnsi="Arial" w:cs="Arial"/>
          <w:sz w:val="20"/>
          <w:szCs w:val="20"/>
        </w:rPr>
        <w:t>S</w:t>
      </w:r>
      <w:r w:rsidR="00976936" w:rsidRPr="00320156">
        <w:rPr>
          <w:rFonts w:ascii="Arial" w:hAnsi="Arial" w:cs="Arial"/>
          <w:sz w:val="20"/>
          <w:szCs w:val="20"/>
        </w:rPr>
        <w:t xml:space="preserve">ignificant differences were </w:t>
      </w:r>
      <w:r w:rsidR="00724C8F">
        <w:rPr>
          <w:rFonts w:ascii="Arial" w:hAnsi="Arial" w:cs="Arial"/>
          <w:sz w:val="20"/>
          <w:szCs w:val="20"/>
        </w:rPr>
        <w:t xml:space="preserve">assessed </w:t>
      </w:r>
      <w:r w:rsidR="00976936" w:rsidRPr="00320156">
        <w:rPr>
          <w:rFonts w:ascii="Arial" w:hAnsi="Arial" w:cs="Arial"/>
          <w:sz w:val="20"/>
          <w:szCs w:val="20"/>
        </w:rPr>
        <w:t xml:space="preserve">between the </w:t>
      </w:r>
      <w:r w:rsidR="00724C8F">
        <w:rPr>
          <w:rFonts w:ascii="Arial" w:hAnsi="Arial" w:cs="Arial"/>
          <w:sz w:val="20"/>
          <w:szCs w:val="20"/>
        </w:rPr>
        <w:t>LVL</w:t>
      </w:r>
      <w:r w:rsidR="00976936" w:rsidRPr="00320156">
        <w:rPr>
          <w:rFonts w:ascii="Arial" w:hAnsi="Arial" w:cs="Arial"/>
          <w:sz w:val="20"/>
          <w:szCs w:val="20"/>
        </w:rPr>
        <w:t xml:space="preserve"> relative to </w:t>
      </w:r>
      <w:r w:rsidR="00724C8F">
        <w:rPr>
          <w:rFonts w:ascii="Arial" w:hAnsi="Arial" w:cs="Arial"/>
          <w:sz w:val="20"/>
          <w:szCs w:val="20"/>
        </w:rPr>
        <w:t>HVL</w:t>
      </w:r>
      <w:r w:rsidR="00976936" w:rsidRPr="00320156">
        <w:rPr>
          <w:rFonts w:ascii="Arial" w:hAnsi="Arial" w:cs="Arial"/>
          <w:sz w:val="20"/>
          <w:szCs w:val="20"/>
        </w:rPr>
        <w:t xml:space="preserve"> cohort.  </w:t>
      </w:r>
      <w:r w:rsidR="00976936" w:rsidRPr="00320156">
        <w:rPr>
          <w:rStyle w:val="a6"/>
          <w:rFonts w:ascii="Arial" w:hAnsi="Arial" w:cs="Arial"/>
          <w:i w:val="0"/>
          <w:sz w:val="20"/>
          <w:szCs w:val="20"/>
        </w:rPr>
        <w:t xml:space="preserve">Quantitative data was assessed by Mann Whitney. </w:t>
      </w:r>
      <w:r w:rsidR="00976936" w:rsidRPr="00320156">
        <w:rPr>
          <w:rFonts w:ascii="Arial" w:hAnsi="Arial" w:cs="Arial"/>
          <w:sz w:val="20"/>
          <w:szCs w:val="20"/>
        </w:rPr>
        <w:t xml:space="preserve">Categorical differences were determined by </w:t>
      </w:r>
      <w:r w:rsidR="00976936" w:rsidRPr="00320156">
        <w:rPr>
          <w:rStyle w:val="a6"/>
          <w:rFonts w:ascii="Arial" w:hAnsi="Arial" w:cs="Arial"/>
          <w:i w:val="0"/>
          <w:sz w:val="20"/>
          <w:szCs w:val="20"/>
        </w:rPr>
        <w:t>Fisher's exact test</w:t>
      </w:r>
      <w:r w:rsidR="00525100">
        <w:rPr>
          <w:rStyle w:val="a6"/>
          <w:rFonts w:ascii="Arial" w:hAnsi="Arial" w:cs="Arial"/>
          <w:i w:val="0"/>
          <w:sz w:val="20"/>
          <w:szCs w:val="20"/>
        </w:rPr>
        <w:t xml:space="preserve"> (including early viral response, EVR and sustained viral response, SVR)</w:t>
      </w:r>
      <w:r w:rsidR="00976936" w:rsidRPr="00320156">
        <w:rPr>
          <w:rStyle w:val="a6"/>
          <w:rFonts w:ascii="Arial" w:hAnsi="Arial" w:cs="Arial"/>
          <w:i w:val="0"/>
          <w:sz w:val="20"/>
          <w:szCs w:val="20"/>
        </w:rPr>
        <w:t>.</w:t>
      </w:r>
      <w:r w:rsidR="00976936" w:rsidRPr="00320156">
        <w:rPr>
          <w:rStyle w:val="a6"/>
          <w:rFonts w:ascii="Arial" w:hAnsi="Arial" w:cs="Arial"/>
          <w:sz w:val="20"/>
          <w:szCs w:val="20"/>
        </w:rPr>
        <w:t xml:space="preserve">  </w:t>
      </w:r>
      <w:r w:rsidR="00976936" w:rsidRPr="00320156">
        <w:rPr>
          <w:rStyle w:val="a6"/>
          <w:rFonts w:ascii="Arial" w:hAnsi="Arial" w:cs="Arial"/>
          <w:i w:val="0"/>
          <w:sz w:val="20"/>
          <w:szCs w:val="20"/>
        </w:rPr>
        <w:t>p&lt;0.05 was considered significant.</w:t>
      </w:r>
    </w:p>
    <w:p w:rsidR="00976936" w:rsidRPr="00320156" w:rsidRDefault="00976936" w:rsidP="00976936">
      <w:pPr>
        <w:spacing w:after="0"/>
        <w:ind w:right="702" w:hanging="180"/>
        <w:jc w:val="both"/>
        <w:rPr>
          <w:rFonts w:ascii="Arial" w:hAnsi="Arial" w:cs="Arial"/>
          <w:sz w:val="20"/>
          <w:szCs w:val="20"/>
        </w:rPr>
      </w:pPr>
      <w:r w:rsidRPr="00320156">
        <w:rPr>
          <w:rFonts w:ascii="Arial" w:hAnsi="Arial" w:cs="Arial"/>
          <w:sz w:val="20"/>
          <w:szCs w:val="20"/>
        </w:rPr>
        <w:t>c. Median and range shown.</w:t>
      </w:r>
    </w:p>
    <w:p w:rsidR="00976936" w:rsidRDefault="00320156" w:rsidP="00976936">
      <w:pPr>
        <w:spacing w:after="0"/>
        <w:ind w:right="702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976936" w:rsidRPr="00320156">
        <w:rPr>
          <w:rFonts w:ascii="Arial" w:hAnsi="Arial" w:cs="Arial"/>
          <w:sz w:val="20"/>
          <w:szCs w:val="20"/>
        </w:rPr>
        <w:t>. Serum levels of alanine aminotransferase (ALT)</w:t>
      </w:r>
      <w:r w:rsidRPr="00320156">
        <w:rPr>
          <w:rFonts w:ascii="Arial" w:hAnsi="Arial" w:cs="Arial"/>
          <w:sz w:val="20"/>
          <w:szCs w:val="20"/>
        </w:rPr>
        <w:t xml:space="preserve">, </w:t>
      </w:r>
      <w:r w:rsidR="00976936" w:rsidRPr="00320156">
        <w:rPr>
          <w:rFonts w:ascii="Arial" w:hAnsi="Arial" w:cs="Arial"/>
          <w:sz w:val="20"/>
          <w:szCs w:val="20"/>
        </w:rPr>
        <w:t>aspartate aminotransferase (AST) levels</w:t>
      </w:r>
      <w:r w:rsidRPr="00320156">
        <w:rPr>
          <w:rFonts w:ascii="Arial" w:hAnsi="Arial" w:cs="Arial"/>
          <w:sz w:val="20"/>
          <w:szCs w:val="20"/>
        </w:rPr>
        <w:t xml:space="preserve">, </w:t>
      </w:r>
      <w:r w:rsidR="00525100">
        <w:rPr>
          <w:rStyle w:val="a6"/>
          <w:rFonts w:ascii="Arial" w:hAnsi="Arial" w:cs="Arial"/>
          <w:i w:val="0"/>
          <w:sz w:val="20"/>
          <w:szCs w:val="20"/>
        </w:rPr>
        <w:t>g</w:t>
      </w:r>
      <w:r w:rsidRPr="00525100">
        <w:rPr>
          <w:rStyle w:val="a6"/>
          <w:rFonts w:ascii="Arial" w:hAnsi="Arial" w:cs="Arial"/>
          <w:i w:val="0"/>
          <w:sz w:val="20"/>
          <w:szCs w:val="20"/>
        </w:rPr>
        <w:t>amma-glutamyl transferase</w:t>
      </w:r>
      <w:r w:rsidRPr="00320156">
        <w:rPr>
          <w:rFonts w:ascii="Arial" w:hAnsi="Arial" w:cs="Arial"/>
          <w:sz w:val="20"/>
          <w:szCs w:val="20"/>
        </w:rPr>
        <w:t xml:space="preserve"> (GGT) and bilirubin were determined.  Normal levels for the following; </w:t>
      </w:r>
      <w:r w:rsidR="00976936" w:rsidRPr="00320156">
        <w:rPr>
          <w:rFonts w:ascii="Arial" w:hAnsi="Arial" w:cs="Arial"/>
          <w:sz w:val="20"/>
          <w:szCs w:val="20"/>
        </w:rPr>
        <w:t>AL</w:t>
      </w:r>
      <w:r w:rsidRPr="00320156">
        <w:rPr>
          <w:rFonts w:ascii="Arial" w:hAnsi="Arial" w:cs="Arial"/>
          <w:sz w:val="20"/>
          <w:szCs w:val="20"/>
        </w:rPr>
        <w:t xml:space="preserve">T, 2-40 IU/L; AST, </w:t>
      </w:r>
      <w:r w:rsidR="00976936" w:rsidRPr="00320156">
        <w:rPr>
          <w:rFonts w:ascii="Arial" w:hAnsi="Arial" w:cs="Arial"/>
          <w:sz w:val="20"/>
          <w:szCs w:val="20"/>
        </w:rPr>
        <w:t>2-45 IU/L</w:t>
      </w:r>
      <w:r w:rsidRPr="00320156">
        <w:rPr>
          <w:rFonts w:ascii="Arial" w:hAnsi="Arial" w:cs="Arial"/>
          <w:sz w:val="20"/>
          <w:szCs w:val="20"/>
        </w:rPr>
        <w:t xml:space="preserve">, GGT, 0-30 U/L and bilirubin &lt;7 µmol/L. </w:t>
      </w:r>
    </w:p>
    <w:p w:rsidR="00320156" w:rsidRPr="00320156" w:rsidRDefault="00320156" w:rsidP="00976936">
      <w:pPr>
        <w:spacing w:after="0"/>
        <w:ind w:right="702" w:hanging="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e. Fibrosis scores are calculated out of a score of 1-4.  Grade of inflammation scores are graded out to 0-3. </w:t>
      </w:r>
    </w:p>
    <w:p w:rsidR="00976936" w:rsidRDefault="00976936" w:rsidP="00976936">
      <w:pPr>
        <w:spacing w:after="0"/>
        <w:rPr>
          <w:rFonts w:ascii="Arial" w:hAnsi="Arial" w:cs="Arial"/>
          <w:sz w:val="20"/>
          <w:szCs w:val="20"/>
        </w:rPr>
      </w:pPr>
    </w:p>
    <w:p w:rsidR="00320156" w:rsidRDefault="00320156" w:rsidP="00976936">
      <w:pPr>
        <w:spacing w:after="0"/>
        <w:rPr>
          <w:rFonts w:ascii="Arial" w:hAnsi="Arial" w:cs="Arial"/>
          <w:sz w:val="20"/>
          <w:szCs w:val="20"/>
        </w:rPr>
      </w:pPr>
    </w:p>
    <w:p w:rsidR="00AD5EED" w:rsidRDefault="00AD5EED" w:rsidP="00976936">
      <w:pPr>
        <w:spacing w:after="0"/>
        <w:rPr>
          <w:rFonts w:ascii="Arial" w:hAnsi="Arial" w:cs="Arial"/>
          <w:sz w:val="20"/>
          <w:szCs w:val="20"/>
        </w:rPr>
      </w:pPr>
    </w:p>
    <w:p w:rsidR="00AD5EED" w:rsidRDefault="00AD5EED" w:rsidP="00976936">
      <w:pPr>
        <w:spacing w:after="0"/>
        <w:rPr>
          <w:rFonts w:ascii="Arial" w:hAnsi="Arial" w:cs="Arial"/>
          <w:sz w:val="20"/>
          <w:szCs w:val="20"/>
        </w:rPr>
      </w:pPr>
    </w:p>
    <w:p w:rsidR="00AD5EED" w:rsidRDefault="00AD5EED" w:rsidP="00976936">
      <w:pPr>
        <w:spacing w:after="0"/>
        <w:rPr>
          <w:rFonts w:ascii="Arial" w:hAnsi="Arial" w:cs="Arial"/>
          <w:sz w:val="20"/>
          <w:szCs w:val="20"/>
        </w:rPr>
      </w:pPr>
    </w:p>
    <w:p w:rsidR="00AD5EED" w:rsidRDefault="00AD5EED" w:rsidP="00976936">
      <w:pPr>
        <w:spacing w:after="0"/>
        <w:rPr>
          <w:rFonts w:ascii="Arial" w:hAnsi="Arial" w:cs="Arial"/>
          <w:sz w:val="20"/>
          <w:szCs w:val="20"/>
        </w:rPr>
      </w:pPr>
    </w:p>
    <w:p w:rsidR="00AD5EED" w:rsidRDefault="00AD5EED" w:rsidP="00976936">
      <w:pPr>
        <w:spacing w:after="0"/>
        <w:rPr>
          <w:rFonts w:ascii="Arial" w:hAnsi="Arial" w:cs="Arial"/>
          <w:sz w:val="20"/>
          <w:szCs w:val="20"/>
        </w:rPr>
      </w:pPr>
    </w:p>
    <w:p w:rsidR="00AD5EED" w:rsidRDefault="00AD5EED" w:rsidP="00976936">
      <w:pPr>
        <w:spacing w:after="0"/>
        <w:rPr>
          <w:rFonts w:ascii="Arial" w:hAnsi="Arial" w:cs="Arial"/>
          <w:sz w:val="20"/>
          <w:szCs w:val="20"/>
        </w:rPr>
      </w:pPr>
    </w:p>
    <w:p w:rsidR="00AD5EED" w:rsidRDefault="00AD5EED" w:rsidP="00976936">
      <w:pPr>
        <w:spacing w:after="0"/>
        <w:rPr>
          <w:rFonts w:ascii="Arial" w:hAnsi="Arial" w:cs="Arial"/>
          <w:sz w:val="20"/>
          <w:szCs w:val="20"/>
        </w:rPr>
      </w:pPr>
    </w:p>
    <w:p w:rsidR="00AD5EED" w:rsidRDefault="00AD5EED" w:rsidP="00976936">
      <w:pPr>
        <w:spacing w:after="0"/>
        <w:rPr>
          <w:rFonts w:ascii="Arial" w:hAnsi="Arial" w:cs="Arial"/>
          <w:sz w:val="20"/>
          <w:szCs w:val="20"/>
        </w:rPr>
      </w:pPr>
    </w:p>
    <w:p w:rsidR="00AD5EED" w:rsidRDefault="00AD5EED" w:rsidP="00976936">
      <w:pPr>
        <w:spacing w:after="0"/>
        <w:rPr>
          <w:rFonts w:ascii="Arial" w:hAnsi="Arial" w:cs="Arial"/>
          <w:sz w:val="20"/>
          <w:szCs w:val="20"/>
        </w:rPr>
      </w:pPr>
    </w:p>
    <w:p w:rsidR="00AD5EED" w:rsidRDefault="00AD5EED" w:rsidP="00976936">
      <w:pPr>
        <w:spacing w:after="0"/>
        <w:rPr>
          <w:rFonts w:ascii="Arial" w:hAnsi="Arial" w:cs="Arial"/>
          <w:sz w:val="20"/>
          <w:szCs w:val="20"/>
        </w:rPr>
      </w:pPr>
    </w:p>
    <w:p w:rsidR="00AD5EED" w:rsidRDefault="00AD5EED" w:rsidP="00976936">
      <w:pPr>
        <w:spacing w:after="0"/>
        <w:rPr>
          <w:rFonts w:ascii="Arial" w:hAnsi="Arial" w:cs="Arial"/>
          <w:sz w:val="20"/>
          <w:szCs w:val="20"/>
        </w:rPr>
      </w:pPr>
    </w:p>
    <w:p w:rsidR="00AD5EED" w:rsidRDefault="00AD5EED" w:rsidP="00976936">
      <w:pPr>
        <w:spacing w:after="0"/>
        <w:rPr>
          <w:rFonts w:ascii="Arial" w:hAnsi="Arial" w:cs="Arial"/>
          <w:sz w:val="20"/>
          <w:szCs w:val="20"/>
        </w:rPr>
      </w:pPr>
    </w:p>
    <w:p w:rsidR="00AD5EED" w:rsidRDefault="00AD5EED" w:rsidP="00976936">
      <w:pPr>
        <w:spacing w:after="0"/>
        <w:rPr>
          <w:rFonts w:ascii="Arial" w:hAnsi="Arial" w:cs="Arial"/>
          <w:sz w:val="20"/>
          <w:szCs w:val="20"/>
        </w:rPr>
      </w:pPr>
    </w:p>
    <w:p w:rsidR="00AD5EED" w:rsidRDefault="00AD5EED" w:rsidP="00976936">
      <w:pPr>
        <w:spacing w:after="0"/>
        <w:rPr>
          <w:rFonts w:ascii="Arial" w:hAnsi="Arial" w:cs="Arial"/>
          <w:sz w:val="20"/>
          <w:szCs w:val="20"/>
        </w:rPr>
      </w:pPr>
    </w:p>
    <w:p w:rsidR="00AD5EED" w:rsidRDefault="00AD5EED" w:rsidP="00976936">
      <w:pPr>
        <w:spacing w:after="0"/>
        <w:rPr>
          <w:rFonts w:ascii="Arial" w:hAnsi="Arial" w:cs="Arial"/>
          <w:sz w:val="20"/>
          <w:szCs w:val="20"/>
        </w:rPr>
      </w:pPr>
    </w:p>
    <w:p w:rsidR="00AD5EED" w:rsidRDefault="00AD5EED" w:rsidP="00976936">
      <w:pPr>
        <w:spacing w:after="0"/>
        <w:rPr>
          <w:rFonts w:ascii="Arial" w:hAnsi="Arial" w:cs="Arial"/>
          <w:sz w:val="20"/>
          <w:szCs w:val="20"/>
        </w:rPr>
      </w:pPr>
      <w:r w:rsidRPr="00AD5EED">
        <w:rPr>
          <w:rFonts w:ascii="Arial" w:hAnsi="Arial" w:cs="Arial"/>
          <w:sz w:val="20"/>
          <w:szCs w:val="20"/>
          <w:lang w:val="en-US"/>
        </w:rPr>
        <w:t xml:space="preserve">Supplemental Table 2. </w:t>
      </w:r>
      <w:r w:rsidR="006E6E60">
        <w:rPr>
          <w:rFonts w:ascii="Arial" w:hAnsi="Arial" w:cs="Arial"/>
          <w:sz w:val="20"/>
          <w:szCs w:val="20"/>
        </w:rPr>
        <w:t xml:space="preserve">NK cell cytotoxicity did not correlated to IFN-γ production </w:t>
      </w:r>
    </w:p>
    <w:p w:rsidR="00AD5EED" w:rsidRDefault="00AD5EED" w:rsidP="00976936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1559"/>
        <w:gridCol w:w="1559"/>
      </w:tblGrid>
      <w:tr w:rsidR="00AD5EED" w:rsidTr="006E6E60">
        <w:tc>
          <w:tcPr>
            <w:tcW w:w="1526" w:type="dxa"/>
            <w:tcBorders>
              <w:bottom w:val="nil"/>
            </w:tcBorders>
          </w:tcPr>
          <w:p w:rsidR="00AD5EED" w:rsidRPr="00AD5EED" w:rsidRDefault="00AD5EED" w:rsidP="00AD5EED">
            <w:pPr>
              <w:pStyle w:val="a4"/>
              <w:spacing w:after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5EED" w:rsidRPr="00AD5EED" w:rsidRDefault="003445A2" w:rsidP="003445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 values </w:t>
            </w:r>
          </w:p>
        </w:tc>
      </w:tr>
      <w:tr w:rsidR="00AD5EED" w:rsidTr="006E6E60">
        <w:tc>
          <w:tcPr>
            <w:tcW w:w="1526" w:type="dxa"/>
            <w:tcBorders>
              <w:top w:val="nil"/>
              <w:bottom w:val="single" w:sz="4" w:space="0" w:color="auto"/>
            </w:tcBorders>
          </w:tcPr>
          <w:p w:rsidR="00AD5EED" w:rsidRPr="00AD5EED" w:rsidRDefault="003445A2" w:rsidP="0088343D">
            <w:pPr>
              <w:pStyle w:val="a4"/>
              <w:spacing w:after="0"/>
              <w:jc w:val="center"/>
              <w:textAlignment w:val="baseline"/>
              <w:rPr>
                <w:rFonts w:ascii="Arial" w:hAnsi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AD5EED">
              <w:rPr>
                <w:rFonts w:ascii="Arial" w:eastAsiaTheme="minorEastAsia" w:hAnsi="Arial" w:cstheme="minorBid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% NK </w:t>
            </w:r>
            <w:r w:rsidR="0088343D">
              <w:rPr>
                <w:rFonts w:ascii="Arial" w:eastAsiaTheme="minorEastAsia" w:hAnsi="Arial" w:cstheme="minorBidi"/>
                <w:color w:val="000000" w:themeColor="text1"/>
                <w:kern w:val="24"/>
                <w:sz w:val="20"/>
                <w:szCs w:val="20"/>
                <w:lang w:val="en-US"/>
              </w:rPr>
              <w:t>cell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D5EED" w:rsidRPr="00AD5EED" w:rsidRDefault="003445A2" w:rsidP="00AD5EED">
            <w:pPr>
              <w:pStyle w:val="a4"/>
              <w:spacing w:after="0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 Lysis</w:t>
            </w:r>
            <w:r w:rsidR="006E6E60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6E6E60" w:rsidRPr="00AD5EED">
              <w:rPr>
                <w:rFonts w:ascii="Arial" w:eastAsiaTheme="minorEastAsia" w:hAnsi="Arial" w:cstheme="minorBid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CM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D5EED" w:rsidRPr="00AD5EED" w:rsidRDefault="006E6E60" w:rsidP="006E6E60">
            <w:pPr>
              <w:pStyle w:val="a4"/>
              <w:spacing w:after="0"/>
              <w:jc w:val="center"/>
              <w:textAlignment w:val="baseline"/>
              <w:rPr>
                <w:rFonts w:ascii="Arial" w:hAnsi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% Lysis</w:t>
            </w:r>
            <w:r w:rsidRPr="00AD5EED">
              <w:rPr>
                <w:rFonts w:ascii="Arial" w:hAnsi="Arial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/>
                <w:color w:val="000000" w:themeColor="text1"/>
                <w:kern w:val="24"/>
                <w:sz w:val="20"/>
                <w:szCs w:val="20"/>
                <w:lang w:val="en-US"/>
              </w:rPr>
              <w:t>-</w:t>
            </w:r>
            <w:r w:rsidR="00AD5EED" w:rsidRPr="00AD5EED">
              <w:rPr>
                <w:rFonts w:ascii="Arial" w:hAnsi="Arial"/>
                <w:color w:val="000000" w:themeColor="text1"/>
                <w:kern w:val="24"/>
                <w:sz w:val="20"/>
                <w:szCs w:val="20"/>
                <w:lang w:val="en-US"/>
              </w:rPr>
              <w:t>IFN-α</w:t>
            </w:r>
            <w:r w:rsidR="003445A2">
              <w:rPr>
                <w:rFonts w:ascii="Arial" w:hAnsi="Arial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</w:t>
            </w:r>
          </w:p>
        </w:tc>
      </w:tr>
      <w:tr w:rsidR="00AD5EED" w:rsidTr="006E6E60">
        <w:tc>
          <w:tcPr>
            <w:tcW w:w="1526" w:type="dxa"/>
            <w:tcBorders>
              <w:top w:val="single" w:sz="4" w:space="0" w:color="auto"/>
            </w:tcBorders>
          </w:tcPr>
          <w:p w:rsidR="00AD5EED" w:rsidRPr="0088343D" w:rsidRDefault="0088343D" w:rsidP="0088343D">
            <w:pPr>
              <w:textAlignment w:val="baseline"/>
              <w:rPr>
                <w:sz w:val="20"/>
                <w:szCs w:val="20"/>
                <w:lang w:val="en-US"/>
              </w:rPr>
            </w:pPr>
            <w:r w:rsidRPr="00AD5EED">
              <w:rPr>
                <w:rFonts w:ascii="Arial" w:eastAsiaTheme="minorEastAsia" w:hAnsi="Arial"/>
                <w:color w:val="000000" w:themeColor="text1"/>
                <w:kern w:val="24"/>
                <w:sz w:val="20"/>
                <w:szCs w:val="20"/>
                <w:lang w:val="en-US"/>
              </w:rPr>
              <w:t>IFN-</w:t>
            </w:r>
            <w:r w:rsidRPr="00AD5EED">
              <w:rPr>
                <w:rFonts w:ascii="Arial" w:eastAsiaTheme="minorEastAsia" w:hAnsi="Arial"/>
                <w:color w:val="000000" w:themeColor="text1"/>
                <w:kern w:val="24"/>
                <w:sz w:val="20"/>
                <w:szCs w:val="20"/>
                <w:lang w:val="el-GR"/>
              </w:rPr>
              <w:t>γ</w:t>
            </w:r>
            <w:r>
              <w:rPr>
                <w:rFonts w:ascii="Arial" w:eastAsiaTheme="minorEastAsia" w:hAnsi="Arial"/>
                <w:color w:val="000000" w:themeColor="text1"/>
                <w:kern w:val="24"/>
                <w:sz w:val="20"/>
                <w:szCs w:val="20"/>
                <w:lang w:val="en-US"/>
              </w:rPr>
              <w:t>+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D5EED" w:rsidRPr="006E6E60" w:rsidRDefault="00AD5EED" w:rsidP="006E6E60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D5EED" w:rsidRPr="006E6E60" w:rsidRDefault="00AD5EED" w:rsidP="006E6E60">
            <w:pPr>
              <w:pStyle w:val="a4"/>
              <w:spacing w:after="0"/>
              <w:jc w:val="center"/>
              <w:textAlignment w:val="baseline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</w:p>
        </w:tc>
      </w:tr>
      <w:tr w:rsidR="0088343D" w:rsidTr="006E6E60">
        <w:tc>
          <w:tcPr>
            <w:tcW w:w="1526" w:type="dxa"/>
          </w:tcPr>
          <w:p w:rsidR="0088343D" w:rsidRPr="00AD5EED" w:rsidRDefault="0088343D" w:rsidP="000C106B">
            <w:pPr>
              <w:jc w:val="center"/>
              <w:textAlignment w:val="baseline"/>
              <w:rPr>
                <w:sz w:val="20"/>
                <w:szCs w:val="20"/>
              </w:rPr>
            </w:pPr>
            <w:r w:rsidRPr="00AD5EED">
              <w:rPr>
                <w:rFonts w:ascii="Arial" w:eastAsiaTheme="minorEastAsia" w:hAnsi="Arial"/>
                <w:color w:val="000000" w:themeColor="text1"/>
                <w:kern w:val="24"/>
                <w:sz w:val="20"/>
                <w:szCs w:val="20"/>
                <w:lang w:val="en-US"/>
              </w:rPr>
              <w:t>CM</w:t>
            </w:r>
          </w:p>
        </w:tc>
        <w:tc>
          <w:tcPr>
            <w:tcW w:w="1559" w:type="dxa"/>
          </w:tcPr>
          <w:p w:rsidR="0088343D" w:rsidRPr="006E6E60" w:rsidRDefault="0088343D" w:rsidP="000C106B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E60">
              <w:rPr>
                <w:rFonts w:ascii="Arial" w:hAnsi="Arial" w:cs="Arial"/>
                <w:sz w:val="20"/>
                <w:szCs w:val="20"/>
              </w:rPr>
              <w:t>-0.143</w:t>
            </w:r>
          </w:p>
        </w:tc>
        <w:tc>
          <w:tcPr>
            <w:tcW w:w="1559" w:type="dxa"/>
          </w:tcPr>
          <w:p w:rsidR="0088343D" w:rsidRPr="006E6E60" w:rsidRDefault="0088343D" w:rsidP="000C106B">
            <w:pPr>
              <w:pStyle w:val="a4"/>
              <w:spacing w:after="0"/>
              <w:jc w:val="center"/>
              <w:textAlignment w:val="baseline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6E6E60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0.027</w:t>
            </w:r>
          </w:p>
        </w:tc>
      </w:tr>
      <w:tr w:rsidR="0088343D" w:rsidTr="006E6E60">
        <w:tc>
          <w:tcPr>
            <w:tcW w:w="1526" w:type="dxa"/>
          </w:tcPr>
          <w:p w:rsidR="0088343D" w:rsidRPr="00AD5EED" w:rsidRDefault="0088343D" w:rsidP="000C106B">
            <w:pPr>
              <w:jc w:val="center"/>
              <w:textAlignment w:val="baseline"/>
              <w:rPr>
                <w:sz w:val="20"/>
                <w:szCs w:val="20"/>
              </w:rPr>
            </w:pPr>
            <w:r w:rsidRPr="00AD5EED">
              <w:rPr>
                <w:rFonts w:ascii="Arial" w:eastAsiaTheme="minorEastAsia" w:hAnsi="Arial"/>
                <w:color w:val="000000" w:themeColor="text1"/>
                <w:kern w:val="24"/>
                <w:sz w:val="20"/>
                <w:szCs w:val="20"/>
                <w:lang w:val="en-US"/>
              </w:rPr>
              <w:t>K562</w:t>
            </w:r>
          </w:p>
        </w:tc>
        <w:tc>
          <w:tcPr>
            <w:tcW w:w="1559" w:type="dxa"/>
          </w:tcPr>
          <w:p w:rsidR="0088343D" w:rsidRPr="006E6E60" w:rsidRDefault="0088343D" w:rsidP="000C106B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E60">
              <w:rPr>
                <w:rFonts w:ascii="Arial" w:hAnsi="Arial" w:cs="Arial"/>
                <w:sz w:val="20"/>
                <w:szCs w:val="20"/>
              </w:rPr>
              <w:t>0.015</w:t>
            </w:r>
          </w:p>
        </w:tc>
        <w:tc>
          <w:tcPr>
            <w:tcW w:w="1559" w:type="dxa"/>
          </w:tcPr>
          <w:p w:rsidR="0088343D" w:rsidRPr="006E6E60" w:rsidRDefault="0088343D" w:rsidP="000C106B">
            <w:pPr>
              <w:pStyle w:val="a4"/>
              <w:spacing w:after="0"/>
              <w:jc w:val="center"/>
              <w:textAlignment w:val="baseline"/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6E6E60"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0.028</w:t>
            </w:r>
          </w:p>
        </w:tc>
      </w:tr>
      <w:tr w:rsidR="0088343D" w:rsidTr="006E6E60">
        <w:tc>
          <w:tcPr>
            <w:tcW w:w="1526" w:type="dxa"/>
          </w:tcPr>
          <w:p w:rsidR="0088343D" w:rsidRPr="0088343D" w:rsidRDefault="0088343D" w:rsidP="000C106B">
            <w:pPr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/>
                <w:color w:val="000000" w:themeColor="text1"/>
                <w:kern w:val="24"/>
                <w:sz w:val="20"/>
                <w:szCs w:val="20"/>
                <w:lang w:val="en-US"/>
              </w:rPr>
              <w:t>PD-1+</w:t>
            </w:r>
          </w:p>
        </w:tc>
        <w:tc>
          <w:tcPr>
            <w:tcW w:w="1559" w:type="dxa"/>
          </w:tcPr>
          <w:p w:rsidR="0088343D" w:rsidRPr="006E6E60" w:rsidRDefault="0088343D" w:rsidP="006E6E60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88343D" w:rsidRPr="006E6E60" w:rsidRDefault="0088343D" w:rsidP="006E6E60">
            <w:pPr>
              <w:pStyle w:val="a4"/>
              <w:spacing w:after="0"/>
              <w:jc w:val="center"/>
              <w:textAlignment w:val="baseline"/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</w:p>
        </w:tc>
      </w:tr>
      <w:tr w:rsidR="0088343D" w:rsidTr="006E6E60">
        <w:tc>
          <w:tcPr>
            <w:tcW w:w="1526" w:type="dxa"/>
          </w:tcPr>
          <w:p w:rsidR="0088343D" w:rsidRPr="00AD5EED" w:rsidRDefault="0088343D" w:rsidP="000C106B">
            <w:pPr>
              <w:jc w:val="center"/>
              <w:textAlignment w:val="baseline"/>
              <w:rPr>
                <w:sz w:val="20"/>
                <w:szCs w:val="20"/>
              </w:rPr>
            </w:pPr>
            <w:r w:rsidRPr="00AD5EED">
              <w:rPr>
                <w:rFonts w:ascii="Arial" w:eastAsiaTheme="minorEastAsia" w:hAnsi="Arial"/>
                <w:color w:val="000000" w:themeColor="text1"/>
                <w:kern w:val="24"/>
                <w:sz w:val="20"/>
                <w:szCs w:val="20"/>
                <w:lang w:val="en-US"/>
              </w:rPr>
              <w:t>CM</w:t>
            </w:r>
          </w:p>
        </w:tc>
        <w:tc>
          <w:tcPr>
            <w:tcW w:w="1559" w:type="dxa"/>
          </w:tcPr>
          <w:p w:rsidR="0088343D" w:rsidRPr="006E6E60" w:rsidRDefault="00284473" w:rsidP="006E6E60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0.257</w:t>
            </w:r>
          </w:p>
        </w:tc>
        <w:tc>
          <w:tcPr>
            <w:tcW w:w="1559" w:type="dxa"/>
          </w:tcPr>
          <w:p w:rsidR="0088343D" w:rsidRPr="006E6E60" w:rsidRDefault="00284473" w:rsidP="00284473">
            <w:pPr>
              <w:pStyle w:val="a4"/>
              <w:spacing w:after="0"/>
              <w:jc w:val="center"/>
              <w:textAlignment w:val="baseline"/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0.257</w:t>
            </w:r>
          </w:p>
        </w:tc>
      </w:tr>
      <w:tr w:rsidR="0088343D" w:rsidTr="006E6E60">
        <w:tc>
          <w:tcPr>
            <w:tcW w:w="1526" w:type="dxa"/>
          </w:tcPr>
          <w:p w:rsidR="0088343D" w:rsidRPr="00AD5EED" w:rsidRDefault="0088343D" w:rsidP="000C106B">
            <w:pPr>
              <w:jc w:val="center"/>
              <w:textAlignment w:val="baseline"/>
              <w:rPr>
                <w:sz w:val="20"/>
                <w:szCs w:val="20"/>
              </w:rPr>
            </w:pPr>
            <w:r w:rsidRPr="00AD5EED">
              <w:rPr>
                <w:rFonts w:ascii="Arial" w:eastAsiaTheme="minorEastAsia" w:hAnsi="Arial"/>
                <w:color w:val="000000" w:themeColor="text1"/>
                <w:kern w:val="24"/>
                <w:sz w:val="20"/>
                <w:szCs w:val="20"/>
                <w:lang w:val="en-US"/>
              </w:rPr>
              <w:t>K562</w:t>
            </w:r>
          </w:p>
        </w:tc>
        <w:tc>
          <w:tcPr>
            <w:tcW w:w="1559" w:type="dxa"/>
          </w:tcPr>
          <w:p w:rsidR="0088343D" w:rsidRPr="006E6E60" w:rsidRDefault="00284473" w:rsidP="006E6E60">
            <w:pPr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0.000</w:t>
            </w:r>
          </w:p>
        </w:tc>
        <w:tc>
          <w:tcPr>
            <w:tcW w:w="1559" w:type="dxa"/>
          </w:tcPr>
          <w:p w:rsidR="0088343D" w:rsidRPr="006E6E60" w:rsidRDefault="00284473" w:rsidP="006E6E60">
            <w:pPr>
              <w:pStyle w:val="a4"/>
              <w:spacing w:after="0"/>
              <w:jc w:val="center"/>
              <w:textAlignment w:val="baseline"/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</w:pPr>
            <w:r>
              <w:rPr>
                <w:rFonts w:ascii="Arial" w:eastAsiaTheme="minorEastAsia" w:hAnsi="Arial" w:cs="Arial"/>
                <w:color w:val="000000" w:themeColor="text1"/>
                <w:kern w:val="24"/>
                <w:sz w:val="20"/>
                <w:szCs w:val="20"/>
                <w:lang w:val="en-US"/>
              </w:rPr>
              <w:t>-0.079</w:t>
            </w:r>
          </w:p>
        </w:tc>
      </w:tr>
    </w:tbl>
    <w:p w:rsidR="00AD5EED" w:rsidRPr="00976936" w:rsidRDefault="00AD5EED" w:rsidP="00976936">
      <w:pPr>
        <w:spacing w:after="0"/>
        <w:rPr>
          <w:rFonts w:ascii="Arial" w:hAnsi="Arial" w:cs="Arial"/>
          <w:sz w:val="20"/>
          <w:szCs w:val="20"/>
        </w:rPr>
      </w:pPr>
    </w:p>
    <w:sectPr w:rsidR="00AD5EED" w:rsidRPr="00976936" w:rsidSect="00C460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C00" w:rsidRDefault="00462C00" w:rsidP="004F2ED1">
      <w:pPr>
        <w:spacing w:after="0" w:line="240" w:lineRule="auto"/>
      </w:pPr>
      <w:r>
        <w:separator/>
      </w:r>
    </w:p>
  </w:endnote>
  <w:endnote w:type="continuationSeparator" w:id="0">
    <w:p w:rsidR="00462C00" w:rsidRDefault="00462C00" w:rsidP="004F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C00" w:rsidRDefault="00462C00" w:rsidP="004F2ED1">
      <w:pPr>
        <w:spacing w:after="0" w:line="240" w:lineRule="auto"/>
      </w:pPr>
      <w:r>
        <w:separator/>
      </w:r>
    </w:p>
  </w:footnote>
  <w:footnote w:type="continuationSeparator" w:id="0">
    <w:p w:rsidR="00462C00" w:rsidRDefault="00462C00" w:rsidP="004F2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20A81"/>
    <w:multiLevelType w:val="hybridMultilevel"/>
    <w:tmpl w:val="6BDC39CA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76936"/>
    <w:rsid w:val="00280605"/>
    <w:rsid w:val="00284473"/>
    <w:rsid w:val="002E5CC6"/>
    <w:rsid w:val="00320156"/>
    <w:rsid w:val="003445A2"/>
    <w:rsid w:val="00462C00"/>
    <w:rsid w:val="004F2ED1"/>
    <w:rsid w:val="005171E1"/>
    <w:rsid w:val="00525100"/>
    <w:rsid w:val="006E6E60"/>
    <w:rsid w:val="00724C8F"/>
    <w:rsid w:val="0088343D"/>
    <w:rsid w:val="009566E3"/>
    <w:rsid w:val="00976936"/>
    <w:rsid w:val="00AD5EED"/>
    <w:rsid w:val="00AD724D"/>
    <w:rsid w:val="00B5193E"/>
    <w:rsid w:val="00C46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9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7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a5">
    <w:name w:val="List Paragraph"/>
    <w:basedOn w:val="a"/>
    <w:uiPriority w:val="34"/>
    <w:qFormat/>
    <w:rsid w:val="00976936"/>
    <w:pPr>
      <w:ind w:left="720"/>
      <w:contextualSpacing/>
    </w:pPr>
  </w:style>
  <w:style w:type="character" w:styleId="a6">
    <w:name w:val="Emphasis"/>
    <w:uiPriority w:val="20"/>
    <w:qFormat/>
    <w:rsid w:val="00976936"/>
    <w:rPr>
      <w:i/>
      <w:iCs/>
    </w:rPr>
  </w:style>
  <w:style w:type="paragraph" w:styleId="a7">
    <w:name w:val="header"/>
    <w:basedOn w:val="a"/>
    <w:link w:val="Char"/>
    <w:uiPriority w:val="99"/>
    <w:semiHidden/>
    <w:unhideWhenUsed/>
    <w:rsid w:val="004F2E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7"/>
    <w:uiPriority w:val="99"/>
    <w:semiHidden/>
    <w:rsid w:val="004F2ED1"/>
  </w:style>
  <w:style w:type="paragraph" w:styleId="a8">
    <w:name w:val="footer"/>
    <w:basedOn w:val="a"/>
    <w:link w:val="Char0"/>
    <w:uiPriority w:val="99"/>
    <w:semiHidden/>
    <w:unhideWhenUsed/>
    <w:rsid w:val="004F2ED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8"/>
    <w:uiPriority w:val="99"/>
    <w:semiHidden/>
    <w:rsid w:val="004F2E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976936"/>
    <w:pPr>
      <w:ind w:left="720"/>
      <w:contextualSpacing/>
    </w:pPr>
  </w:style>
  <w:style w:type="character" w:styleId="Emphasis">
    <w:name w:val="Emphasis"/>
    <w:uiPriority w:val="20"/>
    <w:qFormat/>
    <w:rsid w:val="009769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Julia Rempel</dc:creator>
  <cp:lastModifiedBy>larry</cp:lastModifiedBy>
  <cp:revision>2</cp:revision>
  <dcterms:created xsi:type="dcterms:W3CDTF">2019-01-11T19:17:00Z</dcterms:created>
  <dcterms:modified xsi:type="dcterms:W3CDTF">2019-01-11T19:17:00Z</dcterms:modified>
</cp:coreProperties>
</file>